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A2CBB">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600877</w:t>
      </w:r>
      <w:bookmarkStart w:id="9" w:name="_GoBack"/>
      <w:bookmarkEnd w:id="9"/>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eastAsia="zh-CN"/>
        </w:rPr>
        <w:t>Gothenburg, Sweden, Feb. 09-13</w:t>
      </w:r>
      <w:r>
        <w:rPr>
          <w:rFonts w:hint="default" w:ascii="Times New Roman" w:hAnsi="Times New Roman" w:eastAsia="宋体" w:cs="Times New Roman"/>
          <w:b/>
          <w:sz w:val="24"/>
          <w:szCs w:val="24"/>
          <w:lang w:eastAsia="zh-CN"/>
        </w:rPr>
        <w:t>,</w:t>
      </w:r>
      <w:r>
        <w:rPr>
          <w:rFonts w:hint="default" w:ascii="Times New Roman" w:hAnsi="Times New Roman" w:cs="Times New Roman"/>
          <w:b/>
          <w:bCs/>
          <w:sz w:val="24"/>
          <w:highlight w:val="none"/>
        </w:rPr>
        <w:t xml:space="preserve"> 202</w:t>
      </w:r>
      <w:r>
        <w:rPr>
          <w:rFonts w:hint="eastAsia" w:eastAsia="宋体" w:cs="Times New Roman"/>
          <w:b/>
          <w:bCs/>
          <w:sz w:val="24"/>
          <w:highlight w:val="none"/>
          <w:lang w:val="en-US" w:eastAsia="zh-CN"/>
        </w:rPr>
        <w:t>6</w:t>
      </w:r>
    </w:p>
    <w:p w14:paraId="5E1118E0">
      <w:pPr>
        <w:tabs>
          <w:tab w:val="left" w:pos="1985"/>
        </w:tabs>
        <w:rPr>
          <w:rFonts w:ascii="Times New Roman" w:hAnsi="Times New Roman"/>
          <w:b/>
          <w:sz w:val="22"/>
          <w:highlight w:val="none"/>
        </w:rPr>
      </w:pPr>
    </w:p>
    <w:p w14:paraId="258FEDE0">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10</w:t>
      </w:r>
      <w:r>
        <w:rPr>
          <w:rFonts w:hint="eastAsia" w:ascii="Times New Roman" w:hAnsi="Times New Roman"/>
          <w:sz w:val="22"/>
          <w:highlight w:val="none"/>
        </w:rPr>
        <w:t>.</w:t>
      </w:r>
      <w:r>
        <w:rPr>
          <w:rFonts w:hint="eastAsia" w:ascii="Times New Roman" w:hAnsi="Times New Roman"/>
          <w:sz w:val="22"/>
          <w:highlight w:val="none"/>
          <w:lang w:val="en-US" w:eastAsia="zh-CN"/>
        </w:rPr>
        <w:t>3</w:t>
      </w:r>
    </w:p>
    <w:p w14:paraId="3CDEEB51">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1796E118">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 xml:space="preserve">RRM core requirements for NR MIMO Phase 6 </w:t>
      </w:r>
    </w:p>
    <w:bookmarkEnd w:id="4"/>
    <w:bookmarkEnd w:id="5"/>
    <w:p w14:paraId="02A05ED5">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829441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C77352C">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#102 meeting, the new WID on NR MIMO Phase 5 was approved [1]. In RAN#105 meeting, the revised WID are approved [2], the detailed objectives are duplicated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9648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EDD4A08">
            <w:pPr>
              <w:numPr>
                <w:ilvl w:val="0"/>
                <w:numId w:val="3"/>
              </w:numPr>
              <w:tabs>
                <w:tab w:val="clear" w:pos="720"/>
              </w:tabs>
              <w:overflowPunct/>
              <w:autoSpaceDE/>
              <w:autoSpaceDN/>
              <w:adjustRightInd/>
              <w:snapToGrid w:val="0"/>
              <w:spacing w:after="0"/>
              <w:ind w:left="360"/>
              <w:textAlignment w:val="auto"/>
              <w:rPr>
                <w:rFonts w:hint="default" w:ascii="Times New Roman" w:hAnsi="Times New Roman" w:cs="Times New Roman"/>
                <w:sz w:val="20"/>
                <w:szCs w:val="20"/>
              </w:rPr>
            </w:pPr>
            <w:r>
              <w:rPr>
                <w:rFonts w:hint="default" w:ascii="Times New Roman" w:hAnsi="Times New Roman" w:cs="Times New Roman"/>
                <w:sz w:val="20"/>
                <w:szCs w:val="20"/>
              </w:rPr>
              <w:t>On enhancing UL capacity and coverage, specify the following enhancements:</w:t>
            </w:r>
          </w:p>
          <w:p w14:paraId="2AE38064">
            <w:pPr>
              <w:numPr>
                <w:ilvl w:val="1"/>
                <w:numId w:val="3"/>
              </w:numPr>
              <w:tabs>
                <w:tab w:val="clear" w:pos="1440"/>
              </w:tabs>
              <w:overflowPunct/>
              <w:autoSpaceDE/>
              <w:autoSpaceDN/>
              <w:adjustRightInd/>
              <w:snapToGrid w:val="0"/>
              <w:spacing w:after="0"/>
              <w:ind w:left="72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3D318524">
            <w:pPr>
              <w:numPr>
                <w:ilvl w:val="2"/>
                <w:numId w:val="3"/>
              </w:numPr>
              <w:tabs>
                <w:tab w:val="clear" w:pos="2160"/>
              </w:tabs>
              <w:overflowPunct/>
              <w:autoSpaceDE/>
              <w:autoSpaceDN/>
              <w:adjustRightInd/>
              <w:snapToGrid w:val="0"/>
              <w:spacing w:after="0"/>
              <w:ind w:left="1080"/>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TW"/>
              </w:rPr>
              <w:t xml:space="preserve">Multiple frequency-domain starting positions for SRS repetition symbols within each SRS frequency hop </w:t>
            </w:r>
            <w:r>
              <w:rPr>
                <w:rFonts w:hint="default" w:ascii="Times New Roman" w:hAnsi="Times New Roman" w:cs="Times New Roman"/>
                <w:sz w:val="20"/>
                <w:szCs w:val="20"/>
              </w:rPr>
              <w:t xml:space="preserve">for RB-level partial frequency sounding </w:t>
            </w:r>
          </w:p>
          <w:p w14:paraId="4BBCEEB1">
            <w:pPr>
              <w:numPr>
                <w:ilvl w:val="3"/>
                <w:numId w:val="3"/>
              </w:numPr>
              <w:tabs>
                <w:tab w:val="clear" w:pos="2880"/>
              </w:tabs>
              <w:overflowPunct/>
              <w:autoSpaceDE/>
              <w:autoSpaceDN/>
              <w:adjustRightInd/>
              <w:snapToGrid w:val="0"/>
              <w:spacing w:after="0"/>
              <w:ind w:left="1440"/>
              <w:textAlignment w:val="auto"/>
              <w:rPr>
                <w:rFonts w:hint="default" w:ascii="Times New Roman" w:hAnsi="Times New Roman" w:cs="Times New Roman"/>
                <w:sz w:val="20"/>
                <w:szCs w:val="20"/>
              </w:rPr>
            </w:pPr>
            <w:r>
              <w:rPr>
                <w:rFonts w:hint="default" w:ascii="Times New Roman" w:hAnsi="Times New Roman" w:cs="Times New Roman"/>
                <w:sz w:val="20"/>
                <w:szCs w:val="20"/>
              </w:rPr>
              <w:t>Note: On phase continuity, the applicable conditions and requirements from the legacy RAN4 spec for DMRS bundling should be retained as much as possible.</w:t>
            </w:r>
          </w:p>
          <w:p w14:paraId="7FD15354">
            <w:pPr>
              <w:numPr>
                <w:ilvl w:val="2"/>
                <w:numId w:val="3"/>
              </w:numPr>
              <w:tabs>
                <w:tab w:val="clear" w:pos="2160"/>
              </w:tabs>
              <w:overflowPunct/>
              <w:autoSpaceDE/>
              <w:autoSpaceDN/>
              <w:adjustRightInd/>
              <w:snapToGrid w:val="0"/>
              <w:spacing w:after="0"/>
              <w:ind w:left="1080"/>
              <w:textAlignment w:val="auto"/>
              <w:rPr>
                <w:rFonts w:hint="default" w:ascii="Times New Roman" w:hAnsi="Times New Roman" w:cs="Times New Roman"/>
                <w:sz w:val="20"/>
                <w:szCs w:val="20"/>
              </w:rPr>
            </w:pPr>
            <w:r>
              <w:rPr>
                <w:rFonts w:hint="default" w:ascii="Times New Roman" w:hAnsi="Times New Roman" w:cs="Times New Roman"/>
                <w:sz w:val="20"/>
                <w:szCs w:val="20"/>
              </w:rPr>
              <w:t>Cross-slot SRS between one U slot and one adjacent S slot within a single SRS resource set</w:t>
            </w:r>
            <w:r>
              <w:rPr>
                <w:rFonts w:hint="default" w:ascii="Times New Roman" w:hAnsi="Times New Roman" w:cs="Times New Roman"/>
                <w:sz w:val="20"/>
                <w:szCs w:val="20"/>
                <w:lang w:eastAsia="zh-TW"/>
              </w:rPr>
              <w:t xml:space="preserve"> </w:t>
            </w:r>
          </w:p>
          <w:p w14:paraId="6E6D2C5C">
            <w:pPr>
              <w:numPr>
                <w:ilvl w:val="3"/>
                <w:numId w:val="3"/>
              </w:numPr>
              <w:tabs>
                <w:tab w:val="clear" w:pos="2880"/>
              </w:tabs>
              <w:overflowPunct/>
              <w:autoSpaceDE/>
              <w:autoSpaceDN/>
              <w:adjustRightInd/>
              <w:snapToGrid w:val="0"/>
              <w:spacing w:after="0"/>
              <w:ind w:left="1440"/>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TW"/>
              </w:rPr>
              <w:t xml:space="preserve">When used for one SRS with repetition, cross-slot SRS symbol mapping is limited to within one SRS resource, with a </w:t>
            </w:r>
            <w:r>
              <w:rPr>
                <w:rFonts w:hint="default" w:ascii="Times New Roman" w:hAnsi="Times New Roman" w:cs="Times New Roman"/>
                <w:sz w:val="20"/>
                <w:szCs w:val="20"/>
              </w:rPr>
              <w:t xml:space="preserve">common timing advance (TA), a common UL spatial filter, and common transmit power for the SRS resource across the two consecutive slots </w:t>
            </w:r>
          </w:p>
          <w:p w14:paraId="05692A5F">
            <w:pPr>
              <w:snapToGrid w:val="0"/>
              <w:spacing w:after="0"/>
              <w:rPr>
                <w:rFonts w:hint="default" w:ascii="Times New Roman" w:hAnsi="Times New Roman" w:cs="Times New Roman"/>
                <w:sz w:val="20"/>
                <w:szCs w:val="20"/>
              </w:rPr>
            </w:pPr>
          </w:p>
          <w:p w14:paraId="576A694C">
            <w:pPr>
              <w:numPr>
                <w:ilvl w:val="0"/>
                <w:numId w:val="3"/>
              </w:numPr>
              <w:tabs>
                <w:tab w:val="clear" w:pos="720"/>
              </w:tabs>
              <w:overflowPunct/>
              <w:autoSpaceDE/>
              <w:autoSpaceDN/>
              <w:adjustRightInd/>
              <w:snapToGrid w:val="0"/>
              <w:spacing w:after="0"/>
              <w:ind w:left="360"/>
              <w:textAlignment w:val="auto"/>
              <w:rPr>
                <w:rFonts w:hint="default" w:ascii="Times New Roman" w:hAnsi="Times New Roman" w:cs="Times New Roman"/>
                <w:sz w:val="20"/>
                <w:szCs w:val="20"/>
              </w:rPr>
            </w:pPr>
            <w:r>
              <w:rPr>
                <w:rFonts w:hint="default" w:ascii="Times New Roman" w:hAnsi="Times New Roman" w:cs="Times New Roman"/>
                <w:sz w:val="20"/>
                <w:szCs w:val="20"/>
              </w:rPr>
              <w:t>On enhancing DL CSI acquisition, targeting FR1, specify the following enhancements:</w:t>
            </w:r>
          </w:p>
          <w:p w14:paraId="7E86D3E9">
            <w:pPr>
              <w:numPr>
                <w:ilvl w:val="1"/>
                <w:numId w:val="3"/>
              </w:numPr>
              <w:tabs>
                <w:tab w:val="clear" w:pos="1440"/>
              </w:tabs>
              <w:overflowPunct/>
              <w:autoSpaceDE/>
              <w:autoSpaceDN/>
              <w:adjustRightInd/>
              <w:snapToGrid w:val="0"/>
              <w:spacing w:after="0"/>
              <w:ind w:left="720"/>
              <w:textAlignment w:val="auto"/>
              <w:rPr>
                <w:rFonts w:hint="default" w:ascii="Times New Roman" w:hAnsi="Times New Roman" w:cs="Times New Roman"/>
                <w:sz w:val="20"/>
                <w:szCs w:val="20"/>
              </w:rPr>
            </w:pPr>
            <w:r>
              <w:rPr>
                <w:rFonts w:hint="default" w:ascii="Times New Roman" w:hAnsi="Times New Roman" w:cs="Times New Roman"/>
                <w:sz w:val="20"/>
                <w:szCs w:val="20"/>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7D4423DB">
            <w:pPr>
              <w:numPr>
                <w:ilvl w:val="2"/>
                <w:numId w:val="3"/>
              </w:numPr>
              <w:tabs>
                <w:tab w:val="clear" w:pos="2160"/>
              </w:tabs>
              <w:overflowPunct/>
              <w:autoSpaceDE/>
              <w:autoSpaceDN/>
              <w:adjustRightInd/>
              <w:snapToGrid w:val="0"/>
              <w:spacing w:after="0"/>
              <w:ind w:left="108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Reusing the legacy design, limit the scope </w:t>
            </w:r>
            <w:r>
              <w:rPr>
                <w:rFonts w:hint="default" w:ascii="Times New Roman" w:hAnsi="Times New Roman" w:cs="Times New Roman"/>
                <w:i/>
                <w:sz w:val="20"/>
                <w:szCs w:val="20"/>
              </w:rPr>
              <w:t>only</w:t>
            </w:r>
            <w:r>
              <w:rPr>
                <w:rFonts w:hint="default" w:ascii="Times New Roman" w:hAnsi="Times New Roman" w:cs="Times New Roman"/>
                <w:sz w:val="20"/>
                <w:szCs w:val="20"/>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13FCD220">
            <w:pPr>
              <w:numPr>
                <w:ilvl w:val="2"/>
                <w:numId w:val="3"/>
              </w:numPr>
              <w:tabs>
                <w:tab w:val="clear" w:pos="2160"/>
              </w:tabs>
              <w:overflowPunct/>
              <w:autoSpaceDE/>
              <w:autoSpaceDN/>
              <w:adjustRightInd/>
              <w:snapToGrid w:val="0"/>
              <w:spacing w:after="0"/>
              <w:ind w:left="1080"/>
              <w:textAlignment w:val="auto"/>
              <w:rPr>
                <w:rFonts w:hint="default" w:ascii="Times New Roman" w:hAnsi="Times New Roman" w:cs="Times New Roman"/>
                <w:sz w:val="20"/>
                <w:szCs w:val="20"/>
              </w:rPr>
            </w:pPr>
            <w:r>
              <w:rPr>
                <w:rFonts w:hint="default" w:ascii="Times New Roman" w:hAnsi="Times New Roman" w:cs="Times New Roman"/>
                <w:sz w:val="20"/>
                <w:szCs w:val="20"/>
              </w:rPr>
              <w:t>For IDLE mode, UE capability for early triggering and resource/reporting configuration are signaled via MSG3 and System Information (SI), respectively</w:t>
            </w:r>
          </w:p>
          <w:p w14:paraId="5C5B6403">
            <w:pPr>
              <w:numPr>
                <w:ilvl w:val="1"/>
                <w:numId w:val="3"/>
              </w:numPr>
              <w:tabs>
                <w:tab w:val="clear" w:pos="1440"/>
              </w:tabs>
              <w:overflowPunct/>
              <w:autoSpaceDE/>
              <w:autoSpaceDN/>
              <w:adjustRightInd/>
              <w:snapToGrid w:val="0"/>
              <w:spacing w:after="0"/>
              <w:ind w:left="720"/>
              <w:textAlignment w:val="auto"/>
              <w:rPr>
                <w:rFonts w:hint="default" w:ascii="Times New Roman" w:hAnsi="Times New Roman" w:cs="Times New Roman"/>
                <w:sz w:val="20"/>
                <w:szCs w:val="20"/>
              </w:rPr>
            </w:pPr>
            <w:r>
              <w:rPr>
                <w:rFonts w:hint="default" w:ascii="Times New Roman" w:hAnsi="Times New Roman" w:cs="Times New Roman"/>
                <w:sz w:val="20"/>
                <w:szCs w:val="20"/>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2E371A7E">
            <w:pPr>
              <w:numPr>
                <w:ilvl w:val="2"/>
                <w:numId w:val="3"/>
              </w:numPr>
              <w:tabs>
                <w:tab w:val="clear" w:pos="2160"/>
              </w:tabs>
              <w:overflowPunct/>
              <w:autoSpaceDE/>
              <w:autoSpaceDN/>
              <w:adjustRightInd/>
              <w:snapToGrid w:val="0"/>
              <w:spacing w:after="0"/>
              <w:ind w:left="108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rPr>
              <w:t>Density of 1/3 and 1/6 RE/RB/port are intended only for 48 ports</w:t>
            </w:r>
          </w:p>
        </w:tc>
      </w:tr>
    </w:tbl>
    <w:p w14:paraId="0EA287D1">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20A48E20">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 xml:space="preserve">In last meeting, there was discussion on RRM core requirements </w:t>
      </w:r>
      <w:r>
        <w:rPr>
          <w:rFonts w:hint="eastAsia" w:ascii="Times New Roman" w:hAnsi="Times New Roman"/>
          <w:sz w:val="22"/>
          <w:highlight w:val="none"/>
          <w:lang w:val="en-US" w:eastAsia="zh-CN"/>
        </w:rPr>
        <w:t>for NR MIMO Phase 6</w:t>
      </w:r>
      <w:r>
        <w:rPr>
          <w:rFonts w:hint="eastAsia" w:ascii="Times New Roman" w:hAnsi="Times New Roman"/>
          <w:sz w:val="20"/>
          <w:szCs w:val="20"/>
          <w:lang w:val="en-US" w:eastAsia="zh-CN"/>
        </w:rPr>
        <w:t>, and a WF was approved [3].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this topic</w:t>
      </w:r>
      <w:r>
        <w:rPr>
          <w:rFonts w:hint="eastAsia" w:ascii="Times New Roman" w:hAnsi="Times New Roman"/>
          <w:bCs/>
          <w:iCs/>
          <w:sz w:val="20"/>
          <w:szCs w:val="20"/>
        </w:rPr>
        <w:t>.</w:t>
      </w:r>
    </w:p>
    <w:p w14:paraId="779163C4">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63A8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369EA890">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2.1 Sub-topic 2-1 Early SRS/CSI-RS/CSI triggering during transition from IDLE/INACTIVE to CONNECTED mode</w:t>
            </w:r>
          </w:p>
          <w:p w14:paraId="6212384B">
            <w:pPr>
              <w:snapToGrid w:val="0"/>
              <w:spacing w:after="120"/>
              <w:rPr>
                <w:rFonts w:hint="default" w:ascii="Times New Roman" w:hAnsi="Times New Roman" w:eastAsia="Malgun Gothic" w:cs="Times New Roman"/>
                <w:b/>
                <w:sz w:val="20"/>
                <w:szCs w:val="20"/>
                <w:u w:val="single"/>
                <w:lang w:eastAsia="en-GB"/>
              </w:rPr>
            </w:pPr>
            <w:bookmarkStart w:id="8" w:name="_Hlk166665125"/>
            <w:r>
              <w:rPr>
                <w:rFonts w:hint="default" w:ascii="Times New Roman" w:hAnsi="Times New Roman" w:eastAsia="Malgun Gothic" w:cs="Times New Roman"/>
                <w:b/>
                <w:sz w:val="20"/>
                <w:szCs w:val="20"/>
                <w:u w:val="single"/>
                <w:lang w:eastAsia="ko-KR"/>
              </w:rPr>
              <w:t xml:space="preserve">Issue </w:t>
            </w:r>
            <w:r>
              <w:rPr>
                <w:rFonts w:hint="default" w:ascii="Times New Roman" w:hAnsi="Times New Roman" w:eastAsia="Malgun Gothic" w:cs="Times New Roman"/>
                <w:b/>
                <w:sz w:val="20"/>
                <w:szCs w:val="20"/>
                <w:u w:val="single"/>
              </w:rPr>
              <w:t>2</w:t>
            </w:r>
            <w:r>
              <w:rPr>
                <w:rFonts w:hint="default" w:ascii="Times New Roman" w:hAnsi="Times New Roman" w:eastAsia="Malgun Gothic" w:cs="Times New Roman"/>
                <w:b/>
                <w:sz w:val="20"/>
                <w:szCs w:val="20"/>
                <w:u w:val="single"/>
                <w:lang w:eastAsia="ko-KR"/>
              </w:rPr>
              <w:t xml:space="preserve">-1-1: </w:t>
            </w:r>
            <w:r>
              <w:rPr>
                <w:rFonts w:hint="default" w:ascii="Times New Roman" w:hAnsi="Times New Roman" w:eastAsia="Malgun Gothic" w:cs="Times New Roman"/>
                <w:b/>
                <w:sz w:val="20"/>
                <w:szCs w:val="20"/>
                <w:u w:val="single"/>
              </w:rPr>
              <w:t>W</w:t>
            </w:r>
            <w:r>
              <w:rPr>
                <w:rFonts w:hint="default" w:ascii="Times New Roman" w:hAnsi="Times New Roman" w:eastAsia="Malgun Gothic" w:cs="Times New Roman"/>
                <w:b/>
                <w:sz w:val="20"/>
                <w:szCs w:val="20"/>
                <w:u w:val="single"/>
                <w:lang w:eastAsia="ko-KR"/>
              </w:rPr>
              <w:t>hether UE can transmit or receive during the RRC setup</w:t>
            </w:r>
            <w:r>
              <w:rPr>
                <w:rFonts w:hint="default" w:ascii="Times New Roman" w:hAnsi="Times New Roman" w:eastAsia="Malgun Gothic" w:cs="Times New Roman"/>
                <w:b/>
                <w:sz w:val="20"/>
                <w:szCs w:val="20"/>
                <w:u w:val="single"/>
              </w:rPr>
              <w:t>/resume</w:t>
            </w:r>
            <w:r>
              <w:rPr>
                <w:rFonts w:hint="default" w:ascii="Times New Roman" w:hAnsi="Times New Roman" w:eastAsia="Malgun Gothic" w:cs="Times New Roman"/>
                <w:b/>
                <w:sz w:val="20"/>
                <w:szCs w:val="20"/>
                <w:u w:val="single"/>
                <w:lang w:eastAsia="ko-KR"/>
              </w:rPr>
              <w:t xml:space="preserve"> delay</w:t>
            </w:r>
            <w:r>
              <w:rPr>
                <w:rFonts w:hint="default" w:ascii="Times New Roman" w:hAnsi="Times New Roman" w:eastAsia="Malgun Gothic" w:cs="Times New Roman"/>
                <w:b/>
                <w:sz w:val="20"/>
                <w:szCs w:val="20"/>
                <w:u w:val="single"/>
              </w:rPr>
              <w:t>?</w:t>
            </w:r>
          </w:p>
          <w:p w14:paraId="4969057F">
            <w:pPr>
              <w:spacing w:after="120"/>
              <w:rPr>
                <w:rFonts w:hint="default" w:ascii="Times New Roman" w:hAnsi="Times New Roman" w:cs="Times New Roman"/>
                <w:sz w:val="20"/>
                <w:szCs w:val="20"/>
                <w:lang w:eastAsia="zh-CN"/>
              </w:rPr>
            </w:pPr>
            <w:r>
              <w:rPr>
                <w:rFonts w:hint="default" w:ascii="Times New Roman" w:hAnsi="Times New Roman" w:eastAsia="PMingLiU" w:cs="Times New Roman"/>
                <w:sz w:val="20"/>
                <w:szCs w:val="20"/>
                <w:lang w:eastAsia="zh-TW"/>
              </w:rPr>
              <w:t xml:space="preserve">&lt; </w:t>
            </w:r>
            <w:r>
              <w:rPr>
                <w:rFonts w:hint="default" w:ascii="Times New Roman" w:hAnsi="Times New Roman" w:eastAsia="PMingLiU" w:cs="Times New Roman"/>
                <w:b/>
                <w:bCs/>
                <w:sz w:val="20"/>
                <w:szCs w:val="20"/>
                <w:lang w:eastAsia="zh-TW"/>
              </w:rPr>
              <w:t>Way forward</w:t>
            </w:r>
            <w:r>
              <w:rPr>
                <w:rFonts w:hint="default" w:ascii="Times New Roman" w:hAnsi="Times New Roman" w:eastAsia="PMingLiU" w:cs="Times New Roman"/>
                <w:sz w:val="20"/>
                <w:szCs w:val="20"/>
                <w:lang w:eastAsia="zh-TW"/>
              </w:rPr>
              <w:t xml:space="preserve"> &gt; </w:t>
            </w:r>
            <w:r>
              <w:rPr>
                <w:rFonts w:hint="default" w:ascii="Times New Roman" w:hAnsi="Times New Roman" w:cs="Times New Roman"/>
                <w:bCs/>
                <w:sz w:val="20"/>
                <w:szCs w:val="20"/>
                <w:lang w:eastAsia="zh-CN"/>
              </w:rPr>
              <w:t>FFS:</w:t>
            </w:r>
          </w:p>
          <w:p w14:paraId="2B44D958">
            <w:pPr>
              <w:widowControl w:val="0"/>
              <w:numPr>
                <w:ilvl w:val="1"/>
                <w:numId w:val="4"/>
              </w:numPr>
              <w:autoSpaceDN w:val="0"/>
              <w:snapToGrid w:val="0"/>
              <w:spacing w:after="120"/>
              <w:jc w:val="both"/>
              <w:rPr>
                <w:rFonts w:hint="default" w:ascii="Times New Roman" w:hAnsi="Times New Roman" w:cs="Times New Roman"/>
                <w:sz w:val="20"/>
                <w:szCs w:val="20"/>
                <w:lang w:eastAsia="en-GB"/>
              </w:rPr>
            </w:pPr>
            <w:r>
              <w:rPr>
                <w:rFonts w:hint="default" w:ascii="Times New Roman" w:hAnsi="Times New Roman" w:cs="Times New Roman"/>
                <w:sz w:val="20"/>
                <w:szCs w:val="20"/>
              </w:rPr>
              <w:t xml:space="preserve">When UE receives </w:t>
            </w:r>
            <w:r>
              <w:rPr>
                <w:rFonts w:hint="default" w:ascii="Times New Roman" w:hAnsi="Times New Roman" w:eastAsia="MS Mincho" w:cs="Times New Roman"/>
                <w:bCs/>
                <w:sz w:val="20"/>
                <w:szCs w:val="20"/>
              </w:rPr>
              <w:t>RRC setup/resume</w:t>
            </w:r>
            <w:r>
              <w:rPr>
                <w:rFonts w:hint="default" w:ascii="Times New Roman" w:hAnsi="Times New Roman" w:eastAsia="Malgun Gothic" w:cs="Times New Roman"/>
                <w:bCs/>
                <w:sz w:val="20"/>
                <w:szCs w:val="20"/>
              </w:rPr>
              <w:t xml:space="preserve"> at Msg4</w:t>
            </w:r>
            <w:r>
              <w:rPr>
                <w:rFonts w:hint="default" w:ascii="Times New Roman" w:hAnsi="Times New Roman" w:cs="Times New Roman"/>
                <w:sz w:val="20"/>
                <w:szCs w:val="20"/>
              </w:rPr>
              <w:t xml:space="preserve">, if it </w:t>
            </w:r>
            <w:r>
              <w:rPr>
                <w:rFonts w:hint="default" w:ascii="Times New Roman" w:hAnsi="Times New Roman" w:eastAsia="MS Mincho" w:cs="Times New Roman"/>
                <w:sz w:val="20"/>
                <w:szCs w:val="20"/>
              </w:rPr>
              <w:t>triggers a switch to a new BWP</w:t>
            </w:r>
            <w:r>
              <w:rPr>
                <w:rFonts w:hint="default" w:ascii="Times New Roman" w:hAnsi="Times New Roman" w:eastAsia="Malgun Gothic" w:cs="Times New Roman"/>
                <w:sz w:val="20"/>
                <w:szCs w:val="20"/>
              </w:rPr>
              <w:t xml:space="preserve">, then </w:t>
            </w:r>
            <w:r>
              <w:rPr>
                <w:rFonts w:hint="default" w:ascii="Times New Roman" w:hAnsi="Times New Roman" w:eastAsia="MS Mincho" w:cs="Times New Roman"/>
                <w:bCs/>
                <w:sz w:val="20"/>
                <w:szCs w:val="20"/>
              </w:rPr>
              <w:t>UE is not required to transmit or receive during</w:t>
            </w:r>
            <w:r>
              <w:rPr>
                <w:rFonts w:hint="default" w:ascii="Times New Roman" w:hAnsi="Times New Roman" w:eastAsia="Malgun Gothic" w:cs="Times New Roman"/>
                <w:bCs/>
                <w:sz w:val="20"/>
                <w:szCs w:val="20"/>
              </w:rPr>
              <w:t xml:space="preserve"> the time duration T after Msg4:</w:t>
            </w:r>
          </w:p>
          <w:p w14:paraId="0B52E1BC">
            <w:pPr>
              <w:widowControl w:val="0"/>
              <w:numPr>
                <w:ilvl w:val="2"/>
                <w:numId w:val="4"/>
              </w:numPr>
              <w:autoSpaceDN w:val="0"/>
              <w:snapToGrid w:val="0"/>
              <w:spacing w:after="120"/>
              <w:jc w:val="both"/>
              <w:rPr>
                <w:rFonts w:hint="default" w:ascii="Times New Roman" w:hAnsi="Times New Roman" w:cs="Times New Roman"/>
                <w:sz w:val="20"/>
                <w:szCs w:val="20"/>
              </w:rPr>
            </w:pPr>
            <w:r>
              <w:rPr>
                <w:rFonts w:hint="default" w:ascii="Times New Roman" w:hAnsi="Times New Roman" w:cs="Times New Roman"/>
                <w:sz w:val="20"/>
                <w:szCs w:val="20"/>
              </w:rPr>
              <w:t>A new BWP is defined as</w:t>
            </w:r>
          </w:p>
          <w:p w14:paraId="05AA97D5">
            <w:pPr>
              <w:widowControl w:val="0"/>
              <w:numPr>
                <w:ilvl w:val="3"/>
                <w:numId w:val="4"/>
              </w:numPr>
              <w:autoSpaceDN w:val="0"/>
              <w:snapToGrid w:val="0"/>
              <w:spacing w:after="120"/>
              <w:jc w:val="both"/>
              <w:rPr>
                <w:rFonts w:hint="default" w:ascii="Times New Roman" w:hAnsi="Times New Roman" w:cs="Times New Roman"/>
                <w:sz w:val="20"/>
                <w:szCs w:val="20"/>
              </w:rPr>
            </w:pPr>
            <w:r>
              <w:rPr>
                <w:rFonts w:hint="default" w:ascii="Times New Roman" w:hAnsi="Times New Roman" w:cs="Times New Roman"/>
                <w:sz w:val="20"/>
                <w:szCs w:val="20"/>
              </w:rPr>
              <w:t xml:space="preserve">Alt 1: </w:t>
            </w:r>
            <w:r>
              <w:rPr>
                <w:rFonts w:hint="default" w:ascii="Times New Roman" w:hAnsi="Times New Roman" w:eastAsia="MS Mincho" w:cs="Times New Roman"/>
                <w:sz w:val="20"/>
                <w:szCs w:val="20"/>
              </w:rPr>
              <w:t>a BWP that is different from the initial BWP</w:t>
            </w:r>
          </w:p>
          <w:p w14:paraId="7C8F7222">
            <w:pPr>
              <w:widowControl w:val="0"/>
              <w:numPr>
                <w:ilvl w:val="3"/>
                <w:numId w:val="4"/>
              </w:numPr>
              <w:autoSpaceDN w:val="0"/>
              <w:snapToGrid w:val="0"/>
              <w:spacing w:after="120"/>
              <w:jc w:val="both"/>
              <w:rPr>
                <w:rFonts w:hint="default" w:ascii="Times New Roman" w:hAnsi="Times New Roman" w:cs="Times New Roman"/>
                <w:sz w:val="20"/>
                <w:szCs w:val="20"/>
              </w:rPr>
            </w:pPr>
            <w:r>
              <w:rPr>
                <w:rFonts w:hint="default" w:ascii="Times New Roman" w:hAnsi="Times New Roman" w:cs="Times New Roman"/>
                <w:sz w:val="20"/>
                <w:szCs w:val="20"/>
              </w:rPr>
              <w:t xml:space="preserve">Alt2: BWP which is not BWP#0 or BWP#0 with </w:t>
            </w:r>
            <w:r>
              <w:rPr>
                <w:rFonts w:hint="default" w:ascii="Times New Roman" w:hAnsi="Times New Roman" w:eastAsia="MS Mincho" w:cs="Times New Roman"/>
                <w:sz w:val="20"/>
                <w:szCs w:val="20"/>
              </w:rPr>
              <w:t>any of the parameter’s changes</w:t>
            </w:r>
            <w:r>
              <w:rPr>
                <w:rFonts w:hint="default" w:ascii="Times New Roman" w:hAnsi="Times New Roman" w:eastAsia="Malgun Gothic" w:cs="Times New Roman"/>
                <w:sz w:val="20"/>
                <w:szCs w:val="20"/>
              </w:rPr>
              <w:t xml:space="preserve"> as the initial BWP</w:t>
            </w:r>
          </w:p>
          <w:p w14:paraId="261A858E">
            <w:pPr>
              <w:widowControl w:val="0"/>
              <w:numPr>
                <w:ilvl w:val="3"/>
                <w:numId w:val="4"/>
              </w:numPr>
              <w:autoSpaceDN w:val="0"/>
              <w:snapToGrid w:val="0"/>
              <w:spacing w:after="120"/>
              <w:jc w:val="both"/>
              <w:rPr>
                <w:rFonts w:hint="default" w:ascii="Times New Roman" w:hAnsi="Times New Roman" w:cs="Times New Roman"/>
                <w:sz w:val="20"/>
                <w:szCs w:val="20"/>
              </w:rPr>
            </w:pPr>
            <w:r>
              <w:rPr>
                <w:rFonts w:hint="default" w:ascii="Times New Roman" w:hAnsi="Times New Roman" w:eastAsia="Malgun Gothic" w:cs="Times New Roman"/>
                <w:sz w:val="20"/>
                <w:szCs w:val="20"/>
              </w:rPr>
              <w:t>Alt3: any first active BWP</w:t>
            </w:r>
          </w:p>
          <w:p w14:paraId="62824E28">
            <w:pPr>
              <w:widowControl w:val="0"/>
              <w:numPr>
                <w:ilvl w:val="3"/>
                <w:numId w:val="4"/>
              </w:numPr>
              <w:autoSpaceDN w:val="0"/>
              <w:snapToGrid w:val="0"/>
              <w:spacing w:after="120"/>
              <w:jc w:val="both"/>
              <w:rPr>
                <w:rFonts w:hint="default" w:ascii="Times New Roman" w:hAnsi="Times New Roman" w:cs="Times New Roman"/>
                <w:sz w:val="20"/>
                <w:szCs w:val="20"/>
              </w:rPr>
            </w:pPr>
            <w:r>
              <w:rPr>
                <w:rFonts w:hint="default" w:ascii="Times New Roman" w:hAnsi="Times New Roman" w:eastAsia="Malgun Gothic" w:cs="Times New Roman"/>
                <w:sz w:val="20"/>
                <w:szCs w:val="20"/>
              </w:rPr>
              <w:t>Alt4: BWP that will trigger RF changes</w:t>
            </w:r>
          </w:p>
          <w:p w14:paraId="3BFD4FDD">
            <w:pPr>
              <w:widowControl w:val="0"/>
              <w:numPr>
                <w:ilvl w:val="2"/>
                <w:numId w:val="4"/>
              </w:numPr>
              <w:autoSpaceDN w:val="0"/>
              <w:snapToGrid w:val="0"/>
              <w:spacing w:after="120"/>
              <w:jc w:val="both"/>
              <w:rPr>
                <w:rFonts w:hint="default" w:ascii="Times New Roman" w:hAnsi="Times New Roman" w:cs="Times New Roman"/>
                <w:sz w:val="20"/>
                <w:szCs w:val="20"/>
              </w:rPr>
            </w:pPr>
            <w:r>
              <w:rPr>
                <w:rFonts w:hint="default" w:ascii="Times New Roman" w:hAnsi="Times New Roman" w:cs="Times New Roman"/>
                <w:sz w:val="20"/>
                <w:szCs w:val="20"/>
              </w:rPr>
              <w:t>The time duration is:</w:t>
            </w:r>
          </w:p>
          <w:p w14:paraId="7FEDAA5F">
            <w:pPr>
              <w:widowControl w:val="0"/>
              <w:numPr>
                <w:ilvl w:val="3"/>
                <w:numId w:val="4"/>
              </w:numPr>
              <w:autoSpaceDN w:val="0"/>
              <w:snapToGrid w:val="0"/>
              <w:spacing w:after="120"/>
              <w:jc w:val="both"/>
              <w:rPr>
                <w:rFonts w:hint="default" w:ascii="Times New Roman" w:hAnsi="Times New Roman" w:cs="Times New Roman"/>
                <w:sz w:val="20"/>
                <w:szCs w:val="20"/>
              </w:rPr>
            </w:pPr>
            <w:r>
              <w:rPr>
                <w:rFonts w:hint="default" w:ascii="Times New Roman" w:hAnsi="Times New Roman" w:cs="Times New Roman"/>
                <w:sz w:val="20"/>
                <w:szCs w:val="20"/>
              </w:rPr>
              <w:t xml:space="preserve">Option A: </w:t>
            </w:r>
            <w:r>
              <w:rPr>
                <w:rFonts w:hint="default" w:ascii="Times New Roman" w:hAnsi="Times New Roman" w:eastAsia="MS Mincho" w:cs="Times New Roman"/>
                <w:sz w:val="20"/>
                <w:szCs w:val="20"/>
              </w:rPr>
              <w:t>T</w:t>
            </w:r>
            <w:r>
              <w:rPr>
                <w:rFonts w:hint="default" w:ascii="Times New Roman" w:hAnsi="Times New Roman" w:eastAsia="MS Mincho" w:cs="Times New Roman"/>
                <w:sz w:val="20"/>
                <w:szCs w:val="20"/>
                <w:vertAlign w:val="subscript"/>
              </w:rPr>
              <w:t>RRCprocessingdelay</w:t>
            </w:r>
            <w:r>
              <w:rPr>
                <w:rFonts w:hint="default" w:ascii="Times New Roman" w:hAnsi="Times New Roman" w:eastAsia="MS Mincho" w:cs="Times New Roman"/>
                <w:sz w:val="20"/>
                <w:szCs w:val="20"/>
              </w:rPr>
              <w:t xml:space="preserve"> + T</w:t>
            </w:r>
            <w:r>
              <w:rPr>
                <w:rFonts w:hint="default" w:ascii="Times New Roman" w:hAnsi="Times New Roman" w:eastAsia="MS Mincho" w:cs="Times New Roman"/>
                <w:sz w:val="20"/>
                <w:szCs w:val="20"/>
                <w:vertAlign w:val="subscript"/>
              </w:rPr>
              <w:t>BWPswitchDelayRRC</w:t>
            </w:r>
          </w:p>
          <w:p w14:paraId="5BADFD97">
            <w:pPr>
              <w:widowControl w:val="0"/>
              <w:numPr>
                <w:ilvl w:val="3"/>
                <w:numId w:val="4"/>
              </w:numPr>
              <w:autoSpaceDN w:val="0"/>
              <w:snapToGrid w:val="0"/>
              <w:spacing w:after="120"/>
              <w:jc w:val="both"/>
              <w:rPr>
                <w:rFonts w:hint="default" w:ascii="Times New Roman" w:hAnsi="Times New Roman" w:cs="Times New Roman"/>
                <w:sz w:val="20"/>
                <w:szCs w:val="20"/>
              </w:rPr>
            </w:pPr>
            <w:r>
              <w:rPr>
                <w:rFonts w:hint="default" w:ascii="Times New Roman" w:hAnsi="Times New Roman" w:cs="Times New Roman"/>
                <w:sz w:val="20"/>
                <w:szCs w:val="20"/>
              </w:rPr>
              <w:t xml:space="preserve">Option B: 10ms for RRCsetup, 6ms or 10ms for </w:t>
            </w:r>
            <w:r>
              <w:rPr>
                <w:rFonts w:hint="default" w:ascii="Times New Roman" w:hAnsi="Times New Roman" w:eastAsia="MS Mincho" w:cs="Times New Roman"/>
                <w:sz w:val="20"/>
                <w:szCs w:val="20"/>
              </w:rPr>
              <w:t>RRCResume</w:t>
            </w:r>
          </w:p>
          <w:p w14:paraId="434FE976">
            <w:pPr>
              <w:widowControl w:val="0"/>
              <w:numPr>
                <w:ilvl w:val="3"/>
                <w:numId w:val="4"/>
              </w:numPr>
              <w:autoSpaceDN w:val="0"/>
              <w:snapToGrid w:val="0"/>
              <w:spacing w:after="120"/>
              <w:jc w:val="both"/>
              <w:rPr>
                <w:rFonts w:hint="default" w:ascii="Times New Roman" w:hAnsi="Times New Roman" w:cs="Times New Roman"/>
                <w:sz w:val="20"/>
                <w:szCs w:val="20"/>
              </w:rPr>
            </w:pPr>
            <w:r>
              <w:rPr>
                <w:rFonts w:hint="default" w:ascii="Times New Roman" w:hAnsi="Times New Roman" w:eastAsia="Malgun Gothic" w:cs="Times New Roman"/>
                <w:sz w:val="20"/>
                <w:szCs w:val="20"/>
              </w:rPr>
              <w:t>Option C: others</w:t>
            </w:r>
          </w:p>
          <w:p w14:paraId="02F72281">
            <w:pPr>
              <w:rPr>
                <w:rFonts w:hint="default" w:ascii="Times New Roman" w:hAnsi="Times New Roman" w:cs="Times New Roman"/>
                <w:b/>
                <w:sz w:val="20"/>
                <w:szCs w:val="20"/>
                <w:u w:val="single"/>
                <w:lang w:eastAsia="ko-KR"/>
              </w:rPr>
            </w:pPr>
          </w:p>
          <w:p w14:paraId="0664C8A0">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 xml:space="preserve">Issue 2-1-2: Whether to </w:t>
            </w:r>
            <w:r>
              <w:rPr>
                <w:rFonts w:hint="default" w:ascii="Times New Roman" w:hAnsi="Times New Roman" w:cs="Times New Roman"/>
                <w:b/>
                <w:sz w:val="20"/>
                <w:szCs w:val="20"/>
                <w:u w:val="single"/>
                <w:lang w:eastAsia="zh-CN"/>
              </w:rPr>
              <w:t>introduce additional RRM requirements for early SRS/CSI-RS/CSI triggering during transition from IDLE/INACTIVE to CONNECTED mode</w:t>
            </w:r>
          </w:p>
          <w:p w14:paraId="63714677">
            <w:pPr>
              <w:spacing w:after="120"/>
              <w:rPr>
                <w:rFonts w:hint="default" w:ascii="Times New Roman" w:hAnsi="Times New Roman" w:cs="Times New Roman"/>
                <w:sz w:val="20"/>
                <w:szCs w:val="20"/>
                <w:lang w:eastAsia="zh-CN"/>
              </w:rPr>
            </w:pPr>
            <w:r>
              <w:rPr>
                <w:rFonts w:hint="default" w:ascii="Times New Roman" w:hAnsi="Times New Roman" w:eastAsia="PMingLiU" w:cs="Times New Roman"/>
                <w:sz w:val="20"/>
                <w:szCs w:val="20"/>
                <w:lang w:eastAsia="zh-TW"/>
              </w:rPr>
              <w:t xml:space="preserve">&lt; </w:t>
            </w:r>
            <w:r>
              <w:rPr>
                <w:rFonts w:hint="default" w:ascii="Times New Roman" w:hAnsi="Times New Roman" w:eastAsia="PMingLiU" w:cs="Times New Roman"/>
                <w:b/>
                <w:bCs/>
                <w:sz w:val="20"/>
                <w:szCs w:val="20"/>
                <w:lang w:eastAsia="zh-TW"/>
              </w:rPr>
              <w:t>Agreement</w:t>
            </w:r>
            <w:r>
              <w:rPr>
                <w:rFonts w:hint="default" w:ascii="Times New Roman" w:hAnsi="Times New Roman" w:eastAsia="PMingLiU" w:cs="Times New Roman"/>
                <w:sz w:val="20"/>
                <w:szCs w:val="20"/>
                <w:lang w:eastAsia="zh-TW"/>
              </w:rPr>
              <w:t xml:space="preserve"> &gt; </w:t>
            </w:r>
          </w:p>
          <w:p w14:paraId="24E02B44">
            <w:pPr>
              <w:pStyle w:val="12"/>
              <w:numPr>
                <w:ilvl w:val="1"/>
                <w:numId w:val="4"/>
              </w:numPr>
              <w:overflowPunct/>
              <w:autoSpaceDE/>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Deprioritize this issue unless clear RRM impact is identified.</w:t>
            </w:r>
          </w:p>
          <w:p w14:paraId="20B43926">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2.2 Sub-topic 2-2 Early SRS/CSI-RS/CSI triggering for SCell activation</w:t>
            </w:r>
          </w:p>
          <w:p w14:paraId="78029D94">
            <w:pPr>
              <w:rPr>
                <w:rFonts w:hint="default" w:ascii="Times New Roman" w:hAnsi="Times New Roman" w:cs="Times New Roman"/>
                <w:b/>
                <w:sz w:val="20"/>
                <w:szCs w:val="20"/>
                <w:u w:val="single"/>
                <w:lang w:eastAsia="zh-CN"/>
              </w:rPr>
            </w:pPr>
            <w:r>
              <w:rPr>
                <w:rFonts w:hint="default" w:ascii="Times New Roman" w:hAnsi="Times New Roman" w:cs="Times New Roman"/>
                <w:b/>
                <w:sz w:val="20"/>
                <w:szCs w:val="20"/>
                <w:u w:val="single"/>
                <w:lang w:eastAsia="ko-KR"/>
              </w:rPr>
              <w:t xml:space="preserve">Issue </w:t>
            </w:r>
            <w:r>
              <w:rPr>
                <w:rFonts w:hint="default" w:ascii="Times New Roman" w:hAnsi="Times New Roman" w:cs="Times New Roman"/>
                <w:b/>
                <w:sz w:val="20"/>
                <w:szCs w:val="20"/>
                <w:u w:val="single"/>
                <w:lang w:eastAsia="zh-CN"/>
              </w:rPr>
              <w:t>2</w:t>
            </w:r>
            <w:r>
              <w:rPr>
                <w:rFonts w:hint="default" w:ascii="Times New Roman" w:hAnsi="Times New Roman" w:cs="Times New Roman"/>
                <w:b/>
                <w:sz w:val="20"/>
                <w:szCs w:val="20"/>
                <w:u w:val="single"/>
                <w:lang w:eastAsia="ko-KR"/>
              </w:rPr>
              <w:t xml:space="preserve">-2-1: </w:t>
            </w:r>
            <w:r>
              <w:rPr>
                <w:rFonts w:hint="default" w:ascii="Times New Roman" w:hAnsi="Times New Roman" w:cs="Times New Roman"/>
                <w:b/>
                <w:sz w:val="20"/>
                <w:szCs w:val="20"/>
                <w:u w:val="single"/>
                <w:lang w:eastAsia="zh-CN"/>
              </w:rPr>
              <w:t>How to proceed the discussion on early SRS/CSI-RS/CSI triggering for SCell activation?</w:t>
            </w:r>
          </w:p>
          <w:p w14:paraId="4D544847">
            <w:pPr>
              <w:spacing w:after="120"/>
              <w:rPr>
                <w:rFonts w:hint="default" w:ascii="Times New Roman" w:hAnsi="Times New Roman" w:cs="Times New Roman"/>
                <w:sz w:val="20"/>
                <w:szCs w:val="20"/>
                <w:lang w:eastAsia="zh-CN"/>
              </w:rPr>
            </w:pPr>
            <w:r>
              <w:rPr>
                <w:rFonts w:hint="default" w:ascii="Times New Roman" w:hAnsi="Times New Roman" w:eastAsia="PMingLiU" w:cs="Times New Roman"/>
                <w:sz w:val="20"/>
                <w:szCs w:val="20"/>
                <w:lang w:eastAsia="zh-TW"/>
              </w:rPr>
              <w:t xml:space="preserve">&lt; </w:t>
            </w:r>
            <w:r>
              <w:rPr>
                <w:rFonts w:hint="default" w:ascii="Times New Roman" w:hAnsi="Times New Roman" w:eastAsia="PMingLiU" w:cs="Times New Roman"/>
                <w:b/>
                <w:bCs/>
                <w:sz w:val="20"/>
                <w:szCs w:val="20"/>
                <w:lang w:eastAsia="zh-TW"/>
              </w:rPr>
              <w:t>Way forward</w:t>
            </w:r>
            <w:r>
              <w:rPr>
                <w:rFonts w:hint="default" w:ascii="Times New Roman" w:hAnsi="Times New Roman" w:eastAsia="PMingLiU" w:cs="Times New Roman"/>
                <w:sz w:val="20"/>
                <w:szCs w:val="20"/>
                <w:lang w:eastAsia="zh-TW"/>
              </w:rPr>
              <w:t xml:space="preserve"> &gt; </w:t>
            </w:r>
            <w:r>
              <w:rPr>
                <w:rFonts w:hint="default" w:ascii="Times New Roman" w:hAnsi="Times New Roman" w:cs="Times New Roman"/>
                <w:bCs/>
                <w:sz w:val="20"/>
                <w:szCs w:val="20"/>
                <w:lang w:eastAsia="zh-CN"/>
              </w:rPr>
              <w:t>FFS:</w:t>
            </w:r>
          </w:p>
          <w:p w14:paraId="15BAF034">
            <w:pPr>
              <w:widowControl w:val="0"/>
              <w:numPr>
                <w:ilvl w:val="1"/>
                <w:numId w:val="4"/>
              </w:numPr>
              <w:autoSpaceDN w:val="0"/>
              <w:snapToGrid w:val="0"/>
              <w:spacing w:after="12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Discuss when UE is ready to receive AP CSI-RS and transmit SRS/CSI on the to-be-activated scell in RAN4.</w:t>
            </w:r>
          </w:p>
          <w:p w14:paraId="3F9DA9F2">
            <w:pPr>
              <w:widowControl w:val="0"/>
              <w:numPr>
                <w:ilvl w:val="2"/>
                <w:numId w:val="4"/>
              </w:numPr>
              <w:autoSpaceDN w:val="0"/>
              <w:snapToGrid w:val="0"/>
              <w:spacing w:after="120"/>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At least for Rel-17 fast SCell activation</w:t>
            </w:r>
          </w:p>
          <w:p w14:paraId="287E15FD">
            <w:pPr>
              <w:widowControl w:val="0"/>
              <w:numPr>
                <w:ilvl w:val="2"/>
                <w:numId w:val="4"/>
              </w:numPr>
              <w:autoSpaceDN w:val="0"/>
              <w:snapToGrid w:val="0"/>
              <w:spacing w:after="120"/>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other scenarios</w:t>
            </w:r>
          </w:p>
          <w:p w14:paraId="050350CE">
            <w:pPr>
              <w:pStyle w:val="12"/>
              <w:overflowPunct/>
              <w:autoSpaceDE/>
              <w:adjustRightInd/>
              <w:spacing w:after="120"/>
              <w:ind w:left="3096" w:firstLine="0" w:firstLineChars="0"/>
              <w:textAlignment w:val="auto"/>
              <w:rPr>
                <w:rFonts w:hint="default" w:ascii="Times New Roman" w:hAnsi="Times New Roman" w:eastAsia="宋体" w:cs="Times New Roman"/>
                <w:sz w:val="20"/>
                <w:szCs w:val="20"/>
                <w:lang w:eastAsia="zh-CN"/>
              </w:rPr>
            </w:pPr>
          </w:p>
          <w:p w14:paraId="21D69568">
            <w:pPr>
              <w:snapToGrid w:val="0"/>
              <w:spacing w:after="120"/>
              <w:rPr>
                <w:rFonts w:hint="default" w:ascii="Times New Roman" w:hAnsi="Times New Roman" w:eastAsia="Malgun Gothic" w:cs="Times New Roman"/>
                <w:b/>
                <w:sz w:val="20"/>
                <w:szCs w:val="20"/>
                <w:u w:val="single"/>
                <w:lang w:eastAsia="en-GB"/>
              </w:rPr>
            </w:pPr>
            <w:r>
              <w:rPr>
                <w:rFonts w:hint="default" w:ascii="Times New Roman" w:hAnsi="Times New Roman" w:eastAsia="Malgun Gothic" w:cs="Times New Roman"/>
                <w:b/>
                <w:sz w:val="20"/>
                <w:szCs w:val="20"/>
                <w:u w:val="single"/>
                <w:lang w:eastAsia="ko-KR"/>
              </w:rPr>
              <w:t xml:space="preserve">Issue </w:t>
            </w:r>
            <w:r>
              <w:rPr>
                <w:rFonts w:hint="default" w:ascii="Times New Roman" w:hAnsi="Times New Roman" w:eastAsia="Malgun Gothic" w:cs="Times New Roman"/>
                <w:b/>
                <w:sz w:val="20"/>
                <w:szCs w:val="20"/>
                <w:u w:val="single"/>
              </w:rPr>
              <w:t>2</w:t>
            </w:r>
            <w:r>
              <w:rPr>
                <w:rFonts w:hint="default" w:ascii="Times New Roman" w:hAnsi="Times New Roman" w:eastAsia="Malgun Gothic" w:cs="Times New Roman"/>
                <w:b/>
                <w:sz w:val="20"/>
                <w:szCs w:val="20"/>
                <w:u w:val="single"/>
                <w:lang w:eastAsia="ko-KR"/>
              </w:rPr>
              <w:t xml:space="preserve">-2-2: </w:t>
            </w:r>
            <w:r>
              <w:rPr>
                <w:rFonts w:hint="default" w:ascii="Times New Roman" w:hAnsi="Times New Roman" w:eastAsia="Malgun Gothic" w:cs="Times New Roman"/>
                <w:b/>
                <w:sz w:val="20"/>
                <w:szCs w:val="20"/>
                <w:u w:val="single"/>
              </w:rPr>
              <w:t>W</w:t>
            </w:r>
            <w:r>
              <w:rPr>
                <w:rFonts w:hint="default" w:ascii="Times New Roman" w:hAnsi="Times New Roman" w:eastAsia="Malgun Gothic" w:cs="Times New Roman"/>
                <w:b/>
                <w:sz w:val="20"/>
                <w:szCs w:val="20"/>
                <w:u w:val="single"/>
                <w:lang w:eastAsia="ko-KR"/>
              </w:rPr>
              <w:t>hen UE is ready to receive AP CSI-RS and transmit SRS/CSI on the to-be-activated scell?</w:t>
            </w:r>
          </w:p>
          <w:p w14:paraId="321890BF">
            <w:pPr>
              <w:spacing w:after="120"/>
              <w:rPr>
                <w:rFonts w:hint="default" w:ascii="Times New Roman" w:hAnsi="Times New Roman" w:cs="Times New Roman"/>
                <w:sz w:val="20"/>
                <w:szCs w:val="20"/>
                <w:lang w:eastAsia="zh-CN"/>
              </w:rPr>
            </w:pPr>
            <w:r>
              <w:rPr>
                <w:rFonts w:hint="default" w:ascii="Times New Roman" w:hAnsi="Times New Roman" w:eastAsia="PMingLiU" w:cs="Times New Roman"/>
                <w:sz w:val="20"/>
                <w:szCs w:val="20"/>
                <w:lang w:eastAsia="zh-TW"/>
              </w:rPr>
              <w:t xml:space="preserve">&lt; </w:t>
            </w:r>
            <w:r>
              <w:rPr>
                <w:rFonts w:hint="default" w:ascii="Times New Roman" w:hAnsi="Times New Roman" w:eastAsia="PMingLiU" w:cs="Times New Roman"/>
                <w:b/>
                <w:bCs/>
                <w:sz w:val="20"/>
                <w:szCs w:val="20"/>
                <w:lang w:eastAsia="zh-TW"/>
              </w:rPr>
              <w:t>Way forward</w:t>
            </w:r>
            <w:r>
              <w:rPr>
                <w:rFonts w:hint="default" w:ascii="Times New Roman" w:hAnsi="Times New Roman" w:eastAsia="PMingLiU" w:cs="Times New Roman"/>
                <w:sz w:val="20"/>
                <w:szCs w:val="20"/>
                <w:lang w:eastAsia="zh-TW"/>
              </w:rPr>
              <w:t xml:space="preserve"> &gt; </w:t>
            </w:r>
            <w:r>
              <w:rPr>
                <w:rFonts w:hint="default" w:ascii="Times New Roman" w:hAnsi="Times New Roman" w:cs="Times New Roman"/>
                <w:bCs/>
                <w:sz w:val="20"/>
                <w:szCs w:val="20"/>
                <w:lang w:eastAsia="zh-CN"/>
              </w:rPr>
              <w:t>FFS the following options:</w:t>
            </w:r>
          </w:p>
          <w:p w14:paraId="526C9818">
            <w:pPr>
              <w:widowControl w:val="0"/>
              <w:numPr>
                <w:ilvl w:val="1"/>
                <w:numId w:val="4"/>
              </w:numPr>
              <w:autoSpaceDN w:val="0"/>
              <w:snapToGrid w:val="0"/>
              <w:spacing w:after="12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 (MTK):</w:t>
            </w:r>
          </w:p>
          <w:p w14:paraId="2B13A204">
            <w:pPr>
              <w:widowControl w:val="0"/>
              <w:numPr>
                <w:ilvl w:val="2"/>
                <w:numId w:val="4"/>
              </w:numPr>
              <w:autoSpaceDN w:val="0"/>
              <w:snapToGrid w:val="0"/>
              <w:spacing w:after="120"/>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non-PUCCH SCell, UE is not required to measure CSI or transmit SRS before finishing T/F tracking.</w:t>
            </w:r>
          </w:p>
          <w:p w14:paraId="2B3B505E">
            <w:pPr>
              <w:widowControl w:val="0"/>
              <w:numPr>
                <w:ilvl w:val="2"/>
                <w:numId w:val="4"/>
              </w:numPr>
              <w:autoSpaceDN w:val="0"/>
              <w:snapToGrid w:val="0"/>
              <w:spacing w:after="12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PUCCH SCell when the UE has a valid TA for transmitting on the SCell, UE is not required to measure CSI before finishing T/F tracking, and UE is not required to transmit SRS/CSI on the to-be-activated SCell before finishing PL-RS measurement.</w:t>
            </w:r>
          </w:p>
          <w:p w14:paraId="1D86E29E">
            <w:pPr>
              <w:widowControl w:val="0"/>
              <w:numPr>
                <w:ilvl w:val="1"/>
                <w:numId w:val="4"/>
              </w:numPr>
              <w:autoSpaceDN w:val="0"/>
              <w:snapToGrid w:val="0"/>
              <w:spacing w:after="12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2 (Huawei)</w:t>
            </w:r>
          </w:p>
          <w:p w14:paraId="5AB09147">
            <w:pPr>
              <w:widowControl w:val="0"/>
              <w:numPr>
                <w:ilvl w:val="2"/>
                <w:numId w:val="4"/>
              </w:numPr>
              <w:autoSpaceDN w:val="0"/>
              <w:snapToGrid w:val="0"/>
              <w:spacing w:after="120"/>
              <w:jc w:val="both"/>
              <w:rPr>
                <w:rFonts w:hint="default" w:ascii="Times New Roman" w:hAnsi="Times New Roman" w:eastAsia="Malgun Gothic" w:cs="Times New Roman"/>
                <w:bCs/>
                <w:sz w:val="20"/>
                <w:szCs w:val="20"/>
                <w:lang w:eastAsia="zh-CN"/>
              </w:rPr>
            </w:pPr>
            <w:r>
              <w:rPr>
                <w:rFonts w:hint="default" w:ascii="Times New Roman" w:hAnsi="Times New Roman" w:eastAsia="Malgun Gothic" w:cs="Times New Roman"/>
                <w:bCs/>
                <w:sz w:val="20"/>
                <w:szCs w:val="20"/>
                <w:lang w:eastAsia="zh-CN"/>
              </w:rPr>
              <w:t>If RAN4 starts the discussion of the timeline, there is one principle that needs to be followed: the CSI/CSI</w:t>
            </w:r>
            <w:r>
              <w:rPr>
                <w:rFonts w:hint="default" w:ascii="Times New Roman" w:hAnsi="Times New Roman" w:eastAsia="Malgun Gothic" w:cs="Times New Roman"/>
                <w:bCs/>
                <w:sz w:val="20"/>
                <w:szCs w:val="20"/>
                <w:lang w:eastAsia="zh-CN"/>
              </w:rPr>
              <w:noBreakHyphen/>
            </w:r>
            <w:r>
              <w:rPr>
                <w:rFonts w:hint="default" w:ascii="Times New Roman" w:hAnsi="Times New Roman" w:eastAsia="Malgun Gothic" w:cs="Times New Roman"/>
                <w:bCs/>
                <w:sz w:val="20"/>
                <w:szCs w:val="20"/>
                <w:lang w:eastAsia="zh-CN"/>
              </w:rPr>
              <w:t>RS/SRS measurement and reporting should be conducted after the UE has completed DL synchronisation.</w:t>
            </w:r>
          </w:p>
          <w:p w14:paraId="0B444225">
            <w:pPr>
              <w:rPr>
                <w:rFonts w:hint="default" w:ascii="Times New Roman" w:hAnsi="Times New Roman" w:cs="Times New Roman"/>
                <w:b/>
                <w:sz w:val="20"/>
                <w:szCs w:val="20"/>
                <w:u w:val="single"/>
                <w:lang w:eastAsia="ko-KR"/>
              </w:rPr>
            </w:pPr>
          </w:p>
          <w:p w14:paraId="25D3BC69">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2-2-3: RRM impact</w:t>
            </w:r>
            <w:r>
              <w:rPr>
                <w:rFonts w:hint="default" w:ascii="Times New Roman" w:hAnsi="Times New Roman" w:cs="Times New Roman"/>
                <w:b/>
                <w:sz w:val="20"/>
                <w:szCs w:val="20"/>
                <w:u w:val="single"/>
                <w:lang w:eastAsia="zh-CN"/>
              </w:rPr>
              <w:t xml:space="preserve"> due to early SRS/CSI-RS/CSI triggering for SCell activation</w:t>
            </w:r>
          </w:p>
          <w:p w14:paraId="46EFE162">
            <w:pPr>
              <w:spacing w:after="120"/>
              <w:rPr>
                <w:rFonts w:hint="default" w:ascii="Times New Roman" w:hAnsi="Times New Roman" w:cs="Times New Roman"/>
                <w:sz w:val="20"/>
                <w:szCs w:val="20"/>
                <w:lang w:eastAsia="zh-CN"/>
              </w:rPr>
            </w:pPr>
            <w:r>
              <w:rPr>
                <w:rFonts w:hint="default" w:ascii="Times New Roman" w:hAnsi="Times New Roman" w:eastAsia="PMingLiU" w:cs="Times New Roman"/>
                <w:sz w:val="20"/>
                <w:szCs w:val="20"/>
                <w:lang w:eastAsia="zh-TW"/>
              </w:rPr>
              <w:t xml:space="preserve">&lt; </w:t>
            </w:r>
            <w:r>
              <w:rPr>
                <w:rFonts w:hint="default" w:ascii="Times New Roman" w:hAnsi="Times New Roman" w:eastAsia="PMingLiU" w:cs="Times New Roman"/>
                <w:b/>
                <w:bCs/>
                <w:sz w:val="20"/>
                <w:szCs w:val="20"/>
                <w:lang w:eastAsia="zh-TW"/>
              </w:rPr>
              <w:t>Way forward</w:t>
            </w:r>
            <w:r>
              <w:rPr>
                <w:rFonts w:hint="default" w:ascii="Times New Roman" w:hAnsi="Times New Roman" w:eastAsia="PMingLiU" w:cs="Times New Roman"/>
                <w:sz w:val="20"/>
                <w:szCs w:val="20"/>
                <w:lang w:eastAsia="zh-TW"/>
              </w:rPr>
              <w:t xml:space="preserve"> &gt; </w:t>
            </w:r>
            <w:r>
              <w:rPr>
                <w:rFonts w:hint="default" w:ascii="Times New Roman" w:hAnsi="Times New Roman" w:cs="Times New Roman"/>
                <w:bCs/>
                <w:sz w:val="20"/>
                <w:szCs w:val="20"/>
                <w:lang w:eastAsia="zh-CN"/>
              </w:rPr>
              <w:t>FFS the following options:</w:t>
            </w:r>
          </w:p>
          <w:p w14:paraId="6B856AF3">
            <w:pPr>
              <w:pStyle w:val="12"/>
              <w:numPr>
                <w:ilvl w:val="1"/>
                <w:numId w:val="4"/>
              </w:numPr>
              <w:overflowPunct/>
              <w:autoSpaceDE/>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Option 1 (CATT, OPPO): </w:t>
            </w:r>
          </w:p>
          <w:p w14:paraId="7864DC24">
            <w:pPr>
              <w:pStyle w:val="12"/>
              <w:numPr>
                <w:ilvl w:val="2"/>
                <w:numId w:val="4"/>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wait for more progress made by RAN1 before RAN4 start to discuss the detailed impacts on SCell activation delay requirements</w:t>
            </w:r>
          </w:p>
          <w:p w14:paraId="505E589F">
            <w:pPr>
              <w:pStyle w:val="12"/>
              <w:numPr>
                <w:ilvl w:val="1"/>
                <w:numId w:val="4"/>
              </w:numPr>
              <w:overflowPunct/>
              <w:autoSpaceDE/>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 (MTK, OPPO):</w:t>
            </w:r>
          </w:p>
          <w:p w14:paraId="4E7ABC3B">
            <w:pPr>
              <w:pStyle w:val="12"/>
              <w:numPr>
                <w:ilvl w:val="2"/>
                <w:numId w:val="4"/>
              </w:numPr>
              <w:spacing w:before="120" w:beforeLines="50" w:after="120" w:afterLines="50"/>
              <w:ind w:firstLineChars="0"/>
              <w:textAlignment w:val="auto"/>
              <w:rPr>
                <w:rFonts w:hint="default" w:ascii="Times New Roman" w:hAnsi="Times New Roman" w:cs="Times New Roman"/>
                <w:bCs/>
                <w:sz w:val="20"/>
                <w:szCs w:val="20"/>
                <w:lang w:val="en-US" w:eastAsia="zh-CN"/>
              </w:rPr>
            </w:pPr>
            <w:r>
              <w:rPr>
                <w:rFonts w:hint="default" w:ascii="Times New Roman" w:hAnsi="Times New Roman" w:cs="Times New Roman"/>
                <w:bCs/>
                <w:sz w:val="20"/>
                <w:szCs w:val="20"/>
              </w:rPr>
              <w:t xml:space="preserve">No need to define new RRM core requirements for early CSI/CSI-RS triggering for SCell activation. </w:t>
            </w:r>
          </w:p>
          <w:p w14:paraId="5593EF8F">
            <w:pPr>
              <w:pStyle w:val="12"/>
              <w:numPr>
                <w:ilvl w:val="2"/>
                <w:numId w:val="4"/>
              </w:numPr>
              <w:ind w:firstLine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When early SRS is triggered for SCell activation, the two parts T</w:t>
            </w:r>
            <w:r>
              <w:rPr>
                <w:rFonts w:hint="default" w:ascii="Times New Roman" w:hAnsi="Times New Roman" w:cs="Times New Roman"/>
                <w:bCs/>
                <w:sz w:val="20"/>
                <w:szCs w:val="20"/>
                <w:vertAlign w:val="subscript"/>
              </w:rPr>
              <w:t>HARQ</w:t>
            </w:r>
            <w:r>
              <w:rPr>
                <w:rFonts w:hint="default" w:ascii="Times New Roman" w:hAnsi="Times New Roman" w:cs="Times New Roman"/>
                <w:bCs/>
                <w:sz w:val="20"/>
                <w:szCs w:val="20"/>
              </w:rPr>
              <w:t xml:space="preserve">, </w:t>
            </w:r>
            <w:r>
              <w:rPr>
                <w:rFonts w:hint="default" w:ascii="Times New Roman" w:hAnsi="Times New Roman" w:cs="Times New Roman"/>
                <w:bCs/>
                <w:sz w:val="20"/>
                <w:szCs w:val="20"/>
                <w:lang w:eastAsia="en-GB"/>
              </w:rPr>
              <w:t>T</w:t>
            </w:r>
            <w:r>
              <w:rPr>
                <w:rFonts w:hint="default" w:ascii="Times New Roman" w:hAnsi="Times New Roman" w:cs="Times New Roman"/>
                <w:bCs/>
                <w:sz w:val="20"/>
                <w:szCs w:val="20"/>
                <w:vertAlign w:val="subscript"/>
                <w:lang w:eastAsia="en-GB"/>
              </w:rPr>
              <w:t>activation_time</w:t>
            </w:r>
            <w:r>
              <w:rPr>
                <w:rFonts w:hint="default" w:ascii="Times New Roman" w:hAnsi="Times New Roman" w:cs="Times New Roman"/>
                <w:bCs/>
                <w:sz w:val="20"/>
                <w:szCs w:val="20"/>
              </w:rPr>
              <w:t>, in legacy SCell activation delay requirements should remain the same. FFS whether to update the last component “T</w:t>
            </w:r>
            <w:r>
              <w:rPr>
                <w:rFonts w:hint="default" w:ascii="Times New Roman" w:hAnsi="Times New Roman" w:cs="Times New Roman"/>
                <w:bCs/>
                <w:sz w:val="20"/>
                <w:szCs w:val="20"/>
                <w:vertAlign w:val="subscript"/>
              </w:rPr>
              <w:t>CSI_reporting</w:t>
            </w:r>
            <w:r>
              <w:rPr>
                <w:rFonts w:hint="default" w:ascii="Times New Roman" w:hAnsi="Times New Roman" w:cs="Times New Roman"/>
                <w:bCs/>
                <w:sz w:val="20"/>
                <w:szCs w:val="20"/>
              </w:rPr>
              <w:t>”.</w:t>
            </w:r>
          </w:p>
          <w:p w14:paraId="275A2FC5">
            <w:pPr>
              <w:pStyle w:val="12"/>
              <w:numPr>
                <w:ilvl w:val="1"/>
                <w:numId w:val="4"/>
              </w:numPr>
              <w:overflowPunct/>
              <w:autoSpaceDE/>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3 (Huawei)</w:t>
            </w:r>
          </w:p>
          <w:p w14:paraId="73817200">
            <w:pPr>
              <w:pStyle w:val="12"/>
              <w:numPr>
                <w:ilvl w:val="2"/>
                <w:numId w:val="4"/>
              </w:numPr>
              <w:ind w:firstLineChars="0"/>
              <w:jc w:val="both"/>
              <w:textAlignment w:val="auto"/>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RAN4 to start the discussion of the delay requirement of the early triggering SCell activation, the start point can be the SCell being activated no later than in slot </w:t>
            </w:r>
            <m:oMath>
              <m:r>
                <m:rPr>
                  <m:nor/>
                  <m:sty m:val="p"/>
                </m:rPr>
                <w:rPr>
                  <w:rFonts w:hint="default" w:ascii="Cambria Math" w:hAnsi="Cambria Math" w:cs="Times New Roman" w:eastAsiaTheme="minorEastAsia"/>
                  <w:b w:val="0"/>
                  <w:i w:val="0"/>
                  <w:sz w:val="20"/>
                  <w:szCs w:val="20"/>
                  <w:lang w:eastAsia="zh-CN"/>
                </w:rPr>
                <m:t>n+</m:t>
              </m:r>
              <m:f>
                <m:fPr>
                  <m:ctrlPr>
                    <w:rPr>
                      <w:rFonts w:hint="default" w:ascii="Cambria Math" w:hAnsi="Cambria Math" w:cs="Times New Roman"/>
                      <w:sz w:val="20"/>
                      <w:szCs w:val="20"/>
                    </w:rPr>
                  </m:ctrlPr>
                </m:fPr>
                <m:num>
                  <m:sSub>
                    <m:sSubPr>
                      <m:ctrlPr>
                        <w:rPr>
                          <w:rFonts w:hint="default" w:ascii="Cambria Math" w:hAnsi="Cambria Math" w:cs="Times New Roman"/>
                          <w:sz w:val="20"/>
                          <w:szCs w:val="20"/>
                        </w:rPr>
                      </m:ctrlPr>
                    </m:sSubPr>
                    <m:e>
                      <m:r>
                        <m:rPr>
                          <m:nor/>
                        </m:rPr>
                        <w:rPr>
                          <w:rFonts w:hint="default" w:ascii="Cambria Math" w:hAnsi="Cambria Math" w:cs="Times New Roman" w:eastAsiaTheme="minorEastAsia"/>
                          <w:i/>
                          <w:sz w:val="20"/>
                          <w:szCs w:val="20"/>
                          <w:lang w:eastAsia="zh-CN"/>
                        </w:rPr>
                        <m:t>T</m:t>
                      </m:r>
                      <m:ctrlPr>
                        <w:rPr>
                          <w:rFonts w:hint="default" w:ascii="Cambria Math" w:hAnsi="Cambria Math" w:cs="Times New Roman"/>
                          <w:sz w:val="20"/>
                          <w:szCs w:val="20"/>
                        </w:rPr>
                      </m:ctrlPr>
                    </m:e>
                    <m:sub>
                      <m:r>
                        <m:rPr>
                          <m:nor/>
                        </m:rPr>
                        <w:rPr>
                          <w:rFonts w:hint="default" w:ascii="Cambria Math" w:hAnsi="Cambria Math" w:cs="Times New Roman" w:eastAsiaTheme="minorEastAsia"/>
                          <w:i/>
                          <w:sz w:val="20"/>
                          <w:szCs w:val="20"/>
                          <w:lang w:eastAsia="zh-CN"/>
                        </w:rPr>
                        <m:t>HARQ</m:t>
                      </m:r>
                      <m:ctrlPr>
                        <w:rPr>
                          <w:rFonts w:hint="default" w:ascii="Cambria Math" w:hAnsi="Cambria Math" w:cs="Times New Roman"/>
                          <w:sz w:val="20"/>
                          <w:szCs w:val="20"/>
                        </w:rPr>
                      </m:ctrlPr>
                    </m:sub>
                  </m:sSub>
                  <m:r>
                    <m:rPr>
                      <m:nor/>
                      <m:sty m:val="p"/>
                    </m:rPr>
                    <w:rPr>
                      <w:rFonts w:hint="default" w:ascii="Cambria Math" w:hAnsi="Cambria Math" w:cs="Times New Roman" w:eastAsiaTheme="minorEastAsia"/>
                      <w:b w:val="0"/>
                      <w:i w:val="0"/>
                      <w:sz w:val="20"/>
                      <w:szCs w:val="20"/>
                      <w:lang w:eastAsia="zh-CN"/>
                    </w:rPr>
                    <m:t>+</m:t>
                  </m:r>
                  <m:sSub>
                    <m:sSubPr>
                      <m:ctrlPr>
                        <w:rPr>
                          <w:rFonts w:hint="default" w:ascii="Cambria Math" w:hAnsi="Cambria Math" w:cs="Times New Roman"/>
                          <w:sz w:val="20"/>
                          <w:szCs w:val="20"/>
                        </w:rPr>
                      </m:ctrlPr>
                    </m:sSubPr>
                    <m:e>
                      <m:r>
                        <m:rPr>
                          <m:nor/>
                        </m:rPr>
                        <w:rPr>
                          <w:rFonts w:hint="default" w:ascii="Cambria Math" w:hAnsi="Cambria Math" w:cs="Times New Roman" w:eastAsiaTheme="minorEastAsia"/>
                          <w:i/>
                          <w:sz w:val="20"/>
                          <w:szCs w:val="20"/>
                          <w:lang w:eastAsia="zh-CN"/>
                        </w:rPr>
                        <m:t>T</m:t>
                      </m:r>
                      <m:ctrlPr>
                        <w:rPr>
                          <w:rFonts w:hint="default" w:ascii="Cambria Math" w:hAnsi="Cambria Math" w:cs="Times New Roman"/>
                          <w:sz w:val="20"/>
                          <w:szCs w:val="20"/>
                        </w:rPr>
                      </m:ctrlPr>
                    </m:e>
                    <m:sub>
                      <m:r>
                        <m:rPr>
                          <m:nor/>
                        </m:rPr>
                        <w:rPr>
                          <w:rFonts w:hint="default" w:ascii="Cambria Math" w:hAnsi="Cambria Math" w:cs="Times New Roman" w:eastAsiaTheme="minorEastAsia"/>
                          <w:i/>
                          <w:sz w:val="20"/>
                          <w:szCs w:val="20"/>
                          <w:lang w:eastAsia="zh-CN"/>
                        </w:rPr>
                        <m:t>activation</m:t>
                      </m:r>
                      <m:r>
                        <m:rPr>
                          <m:nor/>
                          <m:sty m:val="p"/>
                        </m:rPr>
                        <w:rPr>
                          <w:rFonts w:hint="default" w:ascii="Cambria Math" w:hAnsi="Cambria Math" w:cs="Times New Roman" w:eastAsiaTheme="minorEastAsia"/>
                          <w:b w:val="0"/>
                          <w:i w:val="0"/>
                          <w:sz w:val="20"/>
                          <w:szCs w:val="20"/>
                          <w:lang w:eastAsia="zh-CN"/>
                        </w:rPr>
                        <m:t>_</m:t>
                      </m:r>
                      <m:r>
                        <m:rPr>
                          <m:nor/>
                        </m:rPr>
                        <w:rPr>
                          <w:rFonts w:hint="default" w:ascii="Cambria Math" w:hAnsi="Cambria Math" w:cs="Times New Roman" w:eastAsiaTheme="minorEastAsia"/>
                          <w:i/>
                          <w:sz w:val="20"/>
                          <w:szCs w:val="20"/>
                          <w:lang w:eastAsia="zh-CN"/>
                        </w:rPr>
                        <m:t>time</m:t>
                      </m:r>
                      <m:ctrlPr>
                        <w:rPr>
                          <w:rFonts w:hint="default" w:ascii="Cambria Math" w:hAnsi="Cambria Math" w:cs="Times New Roman"/>
                          <w:sz w:val="20"/>
                          <w:szCs w:val="20"/>
                        </w:rPr>
                      </m:ctrlPr>
                    </m:sub>
                  </m:sSub>
                  <m:r>
                    <m:rPr>
                      <m:nor/>
                      <m:sty m:val="p"/>
                    </m:rPr>
                    <w:rPr>
                      <w:rFonts w:hint="default" w:ascii="Cambria Math" w:hAnsi="Cambria Math" w:cs="Times New Roman" w:eastAsiaTheme="minorEastAsia"/>
                      <w:b w:val="0"/>
                      <w:i w:val="0"/>
                      <w:sz w:val="20"/>
                      <w:szCs w:val="20"/>
                      <w:lang w:eastAsia="zh-CN"/>
                    </w:rPr>
                    <m:t>+</m:t>
                  </m:r>
                  <m:sSub>
                    <m:sSubPr>
                      <m:ctrlPr>
                        <w:rPr>
                          <w:rFonts w:hint="default" w:ascii="Cambria Math" w:hAnsi="Cambria Math" w:cs="Times New Roman"/>
                          <w:sz w:val="20"/>
                          <w:szCs w:val="20"/>
                        </w:rPr>
                      </m:ctrlPr>
                    </m:sSubPr>
                    <m:e>
                      <m:r>
                        <m:rPr>
                          <m:nor/>
                        </m:rPr>
                        <w:rPr>
                          <w:rFonts w:hint="default" w:ascii="Cambria Math" w:hAnsi="Cambria Math" w:cs="Times New Roman" w:eastAsiaTheme="minorEastAsia"/>
                          <w:i/>
                          <w:sz w:val="20"/>
                          <w:szCs w:val="20"/>
                          <w:lang w:eastAsia="zh-CN"/>
                        </w:rPr>
                        <m:t>T</m:t>
                      </m:r>
                      <m:ctrlPr>
                        <w:rPr>
                          <w:rFonts w:hint="default" w:ascii="Cambria Math" w:hAnsi="Cambria Math" w:cs="Times New Roman"/>
                          <w:sz w:val="20"/>
                          <w:szCs w:val="20"/>
                        </w:rPr>
                      </m:ctrlPr>
                    </m:e>
                    <m:sub>
                      <m:r>
                        <m:rPr>
                          <m:nor/>
                        </m:rPr>
                        <w:rPr>
                          <w:rFonts w:hint="default" w:ascii="Cambria Math" w:hAnsi="Cambria Math" w:cs="Times New Roman" w:eastAsiaTheme="minorEastAsia"/>
                          <w:i/>
                          <w:sz w:val="20"/>
                          <w:szCs w:val="20"/>
                          <w:lang w:eastAsia="zh-CN"/>
                        </w:rPr>
                        <m:t>CSI</m:t>
                      </m:r>
                      <m:r>
                        <m:rPr>
                          <m:nor/>
                          <m:sty m:val="p"/>
                        </m:rPr>
                        <w:rPr>
                          <w:rFonts w:hint="default" w:ascii="Cambria Math" w:hAnsi="Cambria Math" w:cs="Times New Roman" w:eastAsiaTheme="minorEastAsia"/>
                          <w:b w:val="0"/>
                          <w:i w:val="0"/>
                          <w:sz w:val="20"/>
                          <w:szCs w:val="20"/>
                          <w:lang w:eastAsia="zh-CN"/>
                        </w:rPr>
                        <m:t>_</m:t>
                      </m:r>
                      <m:r>
                        <m:rPr>
                          <m:nor/>
                        </m:rPr>
                        <w:rPr>
                          <w:rFonts w:hint="default" w:ascii="Cambria Math" w:hAnsi="Cambria Math" w:cs="Times New Roman" w:eastAsiaTheme="minorEastAsia"/>
                          <w:i/>
                          <w:sz w:val="20"/>
                          <w:szCs w:val="20"/>
                          <w:lang w:eastAsia="zh-CN"/>
                        </w:rPr>
                        <m:t>Reporting</m:t>
                      </m:r>
                      <m:ctrlPr>
                        <w:rPr>
                          <w:rFonts w:hint="default" w:ascii="Cambria Math" w:hAnsi="Cambria Math" w:cs="Times New Roman"/>
                          <w:sz w:val="20"/>
                          <w:szCs w:val="20"/>
                        </w:rPr>
                      </m:ctrlPr>
                    </m:sub>
                  </m:sSub>
                  <m:ctrlPr>
                    <w:rPr>
                      <w:rFonts w:hint="default" w:ascii="Cambria Math" w:hAnsi="Cambria Math" w:cs="Times New Roman"/>
                      <w:sz w:val="20"/>
                      <w:szCs w:val="20"/>
                    </w:rPr>
                  </m:ctrlPr>
                </m:num>
                <m:den>
                  <m:r>
                    <m:rPr>
                      <m:nor/>
                    </m:rPr>
                    <w:rPr>
                      <w:rFonts w:hint="default" w:ascii="Cambria Math" w:hAnsi="Cambria Math" w:cs="Times New Roman" w:eastAsiaTheme="minorEastAsia"/>
                      <w:i/>
                      <w:sz w:val="20"/>
                      <w:szCs w:val="20"/>
                      <w:lang w:eastAsia="zh-CN"/>
                    </w:rPr>
                    <m:t>NR</m:t>
                  </m:r>
                  <m:r>
                    <m:rPr>
                      <m:nor/>
                      <m:sty m:val="p"/>
                    </m:rPr>
                    <w:rPr>
                      <w:rFonts w:hint="default" w:ascii="Cambria Math" w:hAnsi="Cambria Math" w:cs="Times New Roman" w:eastAsiaTheme="minorEastAsia"/>
                      <w:b w:val="0"/>
                      <w:i w:val="0"/>
                      <w:sz w:val="20"/>
                      <w:szCs w:val="20"/>
                      <w:lang w:eastAsia="zh-CN"/>
                    </w:rPr>
                    <m:t xml:space="preserve"> </m:t>
                  </m:r>
                  <m:r>
                    <m:rPr>
                      <m:nor/>
                    </m:rPr>
                    <w:rPr>
                      <w:rFonts w:hint="default" w:ascii="Cambria Math" w:hAnsi="Cambria Math" w:cs="Times New Roman" w:eastAsiaTheme="minorEastAsia"/>
                      <w:i/>
                      <w:sz w:val="20"/>
                      <w:szCs w:val="20"/>
                      <w:lang w:eastAsia="zh-CN"/>
                    </w:rPr>
                    <m:t>slot</m:t>
                  </m:r>
                  <m:r>
                    <m:rPr>
                      <m:nor/>
                      <m:sty m:val="p"/>
                    </m:rPr>
                    <w:rPr>
                      <w:rFonts w:hint="default" w:ascii="Cambria Math" w:hAnsi="Cambria Math" w:cs="Times New Roman" w:eastAsiaTheme="minorEastAsia"/>
                      <w:b w:val="0"/>
                      <w:i w:val="0"/>
                      <w:sz w:val="20"/>
                      <w:szCs w:val="20"/>
                      <w:lang w:eastAsia="zh-CN"/>
                    </w:rPr>
                    <m:t xml:space="preserve"> </m:t>
                  </m:r>
                  <m:r>
                    <m:rPr>
                      <m:nor/>
                    </m:rPr>
                    <w:rPr>
                      <w:rFonts w:hint="default" w:ascii="Cambria Math" w:hAnsi="Cambria Math" w:cs="Times New Roman" w:eastAsiaTheme="minorEastAsia"/>
                      <w:i/>
                      <w:sz w:val="20"/>
                      <w:szCs w:val="20"/>
                      <w:lang w:eastAsia="zh-CN"/>
                    </w:rPr>
                    <m:t>lengt</m:t>
                  </m:r>
                  <m:r>
                    <m:rPr>
                      <m:nor/>
                      <m:sty m:val="p"/>
                    </m:rPr>
                    <w:rPr>
                      <w:rFonts w:hint="default" w:ascii="Cambria Math" w:hAnsi="Cambria Math" w:cs="Times New Roman" w:eastAsiaTheme="minorEastAsia"/>
                      <w:b w:val="0"/>
                      <w:i w:val="0"/>
                      <w:sz w:val="20"/>
                      <w:szCs w:val="20"/>
                      <w:lang w:eastAsia="zh-CN"/>
                    </w:rPr>
                    <m:t>h</m:t>
                  </m:r>
                  <m:ctrlPr>
                    <w:rPr>
                      <w:rFonts w:hint="default" w:ascii="Cambria Math" w:hAnsi="Cambria Math" w:cs="Times New Roman"/>
                      <w:sz w:val="20"/>
                      <w:szCs w:val="20"/>
                    </w:rPr>
                  </m:ctrlPr>
                </m:den>
              </m:f>
            </m:oMath>
            <w:r>
              <w:rPr>
                <w:rFonts w:hint="default" w:ascii="Times New Roman" w:hAnsi="Times New Roman" w:cs="Times New Roman" w:eastAsiaTheme="minorEastAsia"/>
                <w:sz w:val="20"/>
                <w:szCs w:val="20"/>
                <w:lang w:eastAsia="zh-CN"/>
              </w:rPr>
              <w:t xml:space="preserve">. And the update of </w:t>
            </w:r>
            <m:oMath>
              <m:sSub>
                <m:sSubPr>
                  <m:ctrlPr>
                    <w:rPr>
                      <w:rFonts w:hint="default" w:ascii="Cambria Math" w:hAnsi="Cambria Math" w:cs="Times New Roman"/>
                      <w:sz w:val="20"/>
                      <w:szCs w:val="20"/>
                    </w:rPr>
                  </m:ctrlPr>
                </m:sSubPr>
                <m:e>
                  <m:r>
                    <m:rPr>
                      <m:nor/>
                    </m:rPr>
                    <w:rPr>
                      <w:rFonts w:hint="default" w:ascii="Cambria Math" w:hAnsi="Cambria Math" w:cs="Times New Roman" w:eastAsiaTheme="minorEastAsia"/>
                      <w:i/>
                      <w:sz w:val="20"/>
                      <w:szCs w:val="20"/>
                      <w:lang w:eastAsia="zh-CN"/>
                    </w:rPr>
                    <m:t>T</m:t>
                  </m:r>
                  <m:ctrlPr>
                    <w:rPr>
                      <w:rFonts w:hint="default" w:ascii="Cambria Math" w:hAnsi="Cambria Math" w:cs="Times New Roman"/>
                      <w:sz w:val="20"/>
                      <w:szCs w:val="20"/>
                    </w:rPr>
                  </m:ctrlPr>
                </m:e>
                <m:sub>
                  <m:r>
                    <m:rPr>
                      <m:nor/>
                    </m:rPr>
                    <w:rPr>
                      <w:rFonts w:hint="default" w:ascii="Cambria Math" w:hAnsi="Cambria Math" w:cs="Times New Roman" w:eastAsiaTheme="minorEastAsia"/>
                      <w:i/>
                      <w:sz w:val="20"/>
                      <w:szCs w:val="20"/>
                      <w:lang w:eastAsia="zh-CN"/>
                    </w:rPr>
                    <m:t>CSI</m:t>
                  </m:r>
                  <m:r>
                    <m:rPr>
                      <m:nor/>
                      <m:sty m:val="p"/>
                    </m:rPr>
                    <w:rPr>
                      <w:rFonts w:hint="default" w:ascii="Cambria Math" w:hAnsi="Cambria Math" w:cs="Times New Roman" w:eastAsiaTheme="minorEastAsia"/>
                      <w:b w:val="0"/>
                      <w:i w:val="0"/>
                      <w:sz w:val="20"/>
                      <w:szCs w:val="20"/>
                      <w:lang w:eastAsia="zh-CN"/>
                    </w:rPr>
                    <m:t>_</m:t>
                  </m:r>
                  <m:r>
                    <m:rPr>
                      <m:nor/>
                    </m:rPr>
                    <w:rPr>
                      <w:rFonts w:hint="default" w:ascii="Cambria Math" w:hAnsi="Cambria Math" w:cs="Times New Roman" w:eastAsiaTheme="minorEastAsia"/>
                      <w:i/>
                      <w:sz w:val="20"/>
                      <w:szCs w:val="20"/>
                      <w:lang w:eastAsia="zh-CN"/>
                    </w:rPr>
                    <m:t>Reporting</m:t>
                  </m:r>
                  <m:ctrlPr>
                    <w:rPr>
                      <w:rFonts w:hint="default" w:ascii="Cambria Math" w:hAnsi="Cambria Math" w:cs="Times New Roman"/>
                      <w:sz w:val="20"/>
                      <w:szCs w:val="20"/>
                    </w:rPr>
                  </m:ctrlPr>
                </m:sub>
              </m:sSub>
            </m:oMath>
            <w:r>
              <w:rPr>
                <w:rFonts w:hint="default" w:ascii="Times New Roman" w:hAnsi="Times New Roman" w:cs="Times New Roman" w:eastAsiaTheme="minorEastAsia"/>
                <w:sz w:val="20"/>
                <w:szCs w:val="20"/>
                <w:lang w:eastAsia="zh-CN"/>
              </w:rPr>
              <w:t xml:space="preserve"> will be based on the RAN1 further progress.</w:t>
            </w:r>
          </w:p>
          <w:p w14:paraId="1FE8A010">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2.3 Sub-topic 2-3 Early SRS/CSI-RS/CSI triggering when switching out of SCell dormancy</w:t>
            </w:r>
          </w:p>
          <w:p w14:paraId="3A515324">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rPr>
              <w:t xml:space="preserve">Issue 2-3-1: </w:t>
            </w:r>
            <w:r>
              <w:rPr>
                <w:rFonts w:hint="default" w:ascii="Times New Roman" w:hAnsi="Times New Roman" w:cs="Times New Roman"/>
                <w:b/>
                <w:sz w:val="20"/>
                <w:szCs w:val="20"/>
                <w:u w:val="single"/>
                <w:lang w:eastAsia="ko-KR"/>
              </w:rPr>
              <w:t>RRM impact due to</w:t>
            </w:r>
            <w:r>
              <w:rPr>
                <w:rFonts w:hint="default" w:ascii="Times New Roman" w:hAnsi="Times New Roman" w:cs="Times New Roman"/>
                <w:b/>
                <w:sz w:val="20"/>
                <w:szCs w:val="20"/>
                <w:u w:val="single"/>
                <w:lang w:eastAsia="zh-CN"/>
              </w:rPr>
              <w:t xml:space="preserve"> early SRS/CSI-RS/CSI triggering when switching out of SCell dormancy</w:t>
            </w:r>
          </w:p>
          <w:p w14:paraId="5CEF50F0">
            <w:pPr>
              <w:spacing w:after="120"/>
              <w:rPr>
                <w:rFonts w:hint="default" w:ascii="Times New Roman" w:hAnsi="Times New Roman" w:cs="Times New Roman"/>
                <w:sz w:val="20"/>
                <w:szCs w:val="20"/>
                <w:lang w:eastAsia="zh-CN"/>
              </w:rPr>
            </w:pPr>
            <w:r>
              <w:rPr>
                <w:rFonts w:hint="default" w:ascii="Times New Roman" w:hAnsi="Times New Roman" w:eastAsia="PMingLiU" w:cs="Times New Roman"/>
                <w:sz w:val="20"/>
                <w:szCs w:val="20"/>
                <w:lang w:eastAsia="zh-TW"/>
              </w:rPr>
              <w:t xml:space="preserve">&lt; </w:t>
            </w:r>
            <w:r>
              <w:rPr>
                <w:rFonts w:hint="default" w:ascii="Times New Roman" w:hAnsi="Times New Roman" w:eastAsia="PMingLiU" w:cs="Times New Roman"/>
                <w:b/>
                <w:bCs/>
                <w:sz w:val="20"/>
                <w:szCs w:val="20"/>
                <w:lang w:eastAsia="zh-TW"/>
              </w:rPr>
              <w:t>Agreement</w:t>
            </w:r>
            <w:r>
              <w:rPr>
                <w:rFonts w:hint="default" w:ascii="Times New Roman" w:hAnsi="Times New Roman" w:eastAsia="PMingLiU" w:cs="Times New Roman"/>
                <w:sz w:val="20"/>
                <w:szCs w:val="20"/>
                <w:lang w:eastAsia="zh-TW"/>
              </w:rPr>
              <w:t xml:space="preserve"> &gt; </w:t>
            </w:r>
          </w:p>
          <w:p w14:paraId="43B24AD5">
            <w:pPr>
              <w:pStyle w:val="12"/>
              <w:numPr>
                <w:ilvl w:val="1"/>
                <w:numId w:val="4"/>
              </w:numPr>
              <w:overflowPunct/>
              <w:autoSpaceDE/>
              <w:adjustRightInd/>
              <w:spacing w:after="120"/>
              <w:ind w:left="1440"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sz w:val="20"/>
                <w:szCs w:val="20"/>
                <w:lang w:eastAsia="zh-CN"/>
              </w:rPr>
              <w:t xml:space="preserve">Deprioritize this issue unless clear RRM impact is identified.  </w:t>
            </w:r>
            <w:bookmarkEnd w:id="8"/>
            <w:r>
              <w:rPr>
                <w:rFonts w:hint="default" w:ascii="Times New Roman" w:hAnsi="Times New Roman" w:cs="Times New Roman"/>
                <w:sz w:val="20"/>
                <w:szCs w:val="20"/>
                <w:lang w:eastAsia="zh-CN"/>
              </w:rPr>
              <w:t xml:space="preserve"> </w:t>
            </w:r>
          </w:p>
        </w:tc>
      </w:tr>
    </w:tbl>
    <w:p w14:paraId="06639CF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3F0FE8B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For early SRS/CSI-RS/CSI triggering for SCell activation, one issue is use case for early triggering. RAN4 define SCell activation delay requirements for many scenarios, including Rel-15 SCell Activation Delay Requirement for Deactivated SCell, SCell Activation Delay Requirement for Deactivated SCell based on measurement in IDLE/INACTIVE mode, Fast SCell Activation Delay Requirement for Deactivated SCell, SCell Activation Delay Requirement for Deactivated SCell with the L3 reporting during activation, etc. It is necessary to identify which scenarios are considered for early triggering. It is noticed that RAN1 also discuss the use case of early triggering. To avoid the overlapped discussion, it is proposed to follow RAN1 agreements.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903E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A94693B">
            <w:pPr>
              <w:bidi w:val="0"/>
              <w:rPr>
                <w:rFonts w:hint="default" w:ascii="Times New Roman" w:hAnsi="Times New Roman" w:cs="Times New Roman"/>
                <w:sz w:val="20"/>
                <w:szCs w:val="20"/>
              </w:rPr>
            </w:pPr>
            <w:r>
              <w:rPr>
                <w:rFonts w:hint="default" w:ascii="Times New Roman" w:hAnsi="Times New Roman" w:cs="Times New Roman"/>
                <w:sz w:val="20"/>
                <w:szCs w:val="20"/>
                <w:lang w:val="sv-SE"/>
              </w:rPr>
              <w:t>R1</w:t>
            </w:r>
            <w:r>
              <w:rPr>
                <w:rFonts w:hint="default" w:ascii="Times New Roman" w:hAnsi="Times New Roman" w:cs="Times New Roman"/>
                <w:sz w:val="20"/>
                <w:szCs w:val="20"/>
                <w:lang w:val="de-DE"/>
              </w:rPr>
              <w:t>-</w:t>
            </w:r>
            <w:r>
              <w:rPr>
                <w:rFonts w:hint="default" w:ascii="Times New Roman" w:hAnsi="Times New Roman" w:cs="Times New Roman"/>
                <w:sz w:val="20"/>
                <w:szCs w:val="20"/>
                <w:lang w:val="sv-SE"/>
              </w:rPr>
              <w:t>2508520</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Moderator summary on enhancing DL CSI acquisition (Round 3)</w:t>
            </w:r>
          </w:p>
          <w:p w14:paraId="48A7203F">
            <w:pPr>
              <w:bidi w:val="0"/>
              <w:rPr>
                <w:rFonts w:hint="default" w:ascii="Times New Roman" w:hAnsi="Times New Roman" w:cs="Times New Roman"/>
                <w:b/>
                <w:bCs/>
                <w:color w:val="000000" w:themeColor="text1"/>
                <w:sz w:val="20"/>
                <w:szCs w:val="20"/>
                <w14:textFill>
                  <w14:solidFill>
                    <w14:schemeClr w14:val="tx1"/>
                  </w14:solidFill>
                </w14:textFill>
              </w:rPr>
            </w:pPr>
            <w:r>
              <w:rPr>
                <w:rFonts w:hint="default" w:ascii="Times New Roman" w:hAnsi="Times New Roman" w:cs="Times New Roman"/>
                <w:b/>
                <w:bCs/>
                <w:sz w:val="20"/>
                <w:szCs w:val="20"/>
              </w:rPr>
              <w:t>Issue 1.2 – SCell transition from deactivation to activation</w:t>
            </w:r>
          </w:p>
          <w:p w14:paraId="0949B322">
            <w:pPr>
              <w:suppressAutoHyphens w:val="0"/>
              <w:spacing w:after="0" w:line="276" w:lineRule="auto"/>
              <w:jc w:val="both"/>
              <w:rPr>
                <w:rFonts w:hint="default" w:ascii="Times New Roman" w:hAnsi="Times New Roman" w:cs="Times New Roman"/>
                <w:b/>
                <w:bCs/>
                <w:color w:val="000000" w:themeColor="text1"/>
                <w:sz w:val="20"/>
                <w:szCs w:val="20"/>
                <w14:textFill>
                  <w14:solidFill>
                    <w14:schemeClr w14:val="tx1"/>
                  </w14:solidFill>
                </w14:textFill>
              </w:rPr>
            </w:pPr>
            <w:r>
              <w:rPr>
                <w:rFonts w:hint="default" w:ascii="Times New Roman" w:hAnsi="Times New Roman" w:cs="Times New Roman"/>
                <w:b/>
                <w:bCs/>
                <w:color w:val="000000" w:themeColor="text1"/>
                <w:sz w:val="20"/>
                <w:szCs w:val="20"/>
                <w14:textFill>
                  <w14:solidFill>
                    <w14:schemeClr w14:val="tx1"/>
                  </w14:solidFill>
                </w14:textFill>
              </w:rPr>
              <w:t>Use case of early triggering</w:t>
            </w:r>
            <w:r>
              <w:rPr>
                <w:rFonts w:hint="eastAsia" w:ascii="Times New Roman" w:hAnsi="Times New Roman" w:cs="Times New Roman"/>
                <w:b/>
                <w:bCs/>
                <w:color w:val="000000" w:themeColor="text1"/>
                <w:sz w:val="20"/>
                <w:szCs w:val="20"/>
                <w:lang w:val="en-US" w:eastAsia="zh-CN"/>
                <w14:textFill>
                  <w14:solidFill>
                    <w14:schemeClr w14:val="tx1"/>
                  </w14:solidFill>
                </w14:textFill>
              </w:rPr>
              <w:t xml:space="preserve">: </w:t>
            </w:r>
            <w:r>
              <w:rPr>
                <w:rFonts w:hint="default" w:ascii="Times New Roman" w:hAnsi="Times New Roman" w:cs="Times New Roman"/>
                <w:b/>
                <w:bCs/>
                <w:color w:val="000000" w:themeColor="text1"/>
                <w:sz w:val="20"/>
                <w:szCs w:val="20"/>
                <w14:textFill>
                  <w14:solidFill>
                    <w14:schemeClr w14:val="tx1"/>
                  </w14:solidFill>
                </w14:textFill>
              </w:rPr>
              <w:t xml:space="preserve">Whether to limit early SRS-AS/CSI/CSI-RS triggering only to Rel-17 SCell activation </w:t>
            </w:r>
          </w:p>
          <w:p w14:paraId="6B69E7F4">
            <w:pPr>
              <w:pStyle w:val="12"/>
              <w:numPr>
                <w:ilvl w:val="0"/>
                <w:numId w:val="5"/>
              </w:numPr>
              <w:suppressAutoHyphens w:val="0"/>
              <w:spacing w:after="0" w:line="276" w:lineRule="auto"/>
              <w:ind w:hanging="158"/>
              <w:rPr>
                <w:rFonts w:hint="default" w:ascii="Times New Roman" w:hAnsi="Times New Roman" w:eastAsia="PMingLiU" w:cs="Times New Roman"/>
                <w:color w:val="000000" w:themeColor="text1"/>
                <w:sz w:val="20"/>
                <w:szCs w:val="20"/>
                <w:lang w:eastAsia="zh-TW"/>
                <w14:textFill>
                  <w14:solidFill>
                    <w14:schemeClr w14:val="tx1"/>
                  </w14:solidFill>
                </w14:textFill>
              </w:rPr>
            </w:pPr>
            <w:r>
              <w:rPr>
                <w:rFonts w:hint="default" w:ascii="Times New Roman" w:hAnsi="Times New Roman" w:eastAsia="PMingLiU" w:cs="Times New Roman"/>
                <w:color w:val="000000" w:themeColor="text1"/>
                <w:sz w:val="20"/>
                <w:szCs w:val="20"/>
                <w:lang w:eastAsia="zh-TW"/>
                <w14:textFill>
                  <w14:solidFill>
                    <w14:schemeClr w14:val="tx1"/>
                  </w14:solidFill>
                </w14:textFill>
              </w:rPr>
              <w:t>Applicable to both Rel-15 and Rel-17 SCell activation</w:t>
            </w:r>
          </w:p>
          <w:p w14:paraId="58F47C37">
            <w:pPr>
              <w:numPr>
                <w:ilvl w:val="2"/>
                <w:numId w:val="6"/>
              </w:numPr>
              <w:tabs>
                <w:tab w:val="left" w:pos="1286"/>
              </w:tabs>
              <w:suppressAutoHyphens w:val="0"/>
              <w:spacing w:after="0" w:line="276" w:lineRule="auto"/>
              <w:ind w:left="1242" w:leftChars="0" w:hanging="142"/>
              <w:contextualSpacing/>
              <w:jc w:val="both"/>
              <w:rPr>
                <w:rFonts w:hint="default" w:ascii="Times New Roman" w:hAnsi="Times New Roman" w:cs="Times New Roman"/>
                <w:sz w:val="20"/>
                <w:szCs w:val="20"/>
              </w:rPr>
            </w:pPr>
            <w:r>
              <w:rPr>
                <w:rFonts w:hint="default" w:ascii="Times New Roman" w:hAnsi="Times New Roman" w:cs="Times New Roman"/>
                <w:b/>
                <w:bCs/>
                <w:sz w:val="20"/>
                <w:szCs w:val="20"/>
              </w:rPr>
              <w:t>Support</w:t>
            </w:r>
            <w:r>
              <w:rPr>
                <w:rFonts w:hint="default" w:ascii="Times New Roman" w:hAnsi="Times New Roman" w:cs="Times New Roman"/>
                <w:sz w:val="20"/>
                <w:szCs w:val="20"/>
              </w:rPr>
              <w:t xml:space="preserve">: Samsung, MediaTek, Nokia, Spreadtrum, OPPO, Fujitsu, NTT DOCOMO, HONOR, Sharp, xiaomi, </w:t>
            </w:r>
            <w:r>
              <w:rPr>
                <w:rFonts w:hint="default" w:ascii="Times New Roman" w:hAnsi="Times New Roman" w:eastAsia="宋体" w:cs="Times New Roman"/>
                <w:sz w:val="20"/>
                <w:szCs w:val="20"/>
                <w:lang w:eastAsia="zh-CN"/>
              </w:rPr>
              <w:t>Rakuten, Lenovo, ZTE, NEC, Fujitsu, Ofinno</w:t>
            </w:r>
          </w:p>
          <w:p w14:paraId="364E3E7F">
            <w:pPr>
              <w:pStyle w:val="12"/>
              <w:numPr>
                <w:ilvl w:val="0"/>
                <w:numId w:val="5"/>
              </w:numPr>
              <w:suppressAutoHyphens w:val="0"/>
              <w:spacing w:after="0" w:line="276" w:lineRule="auto"/>
              <w:ind w:hanging="158"/>
              <w:rPr>
                <w:rFonts w:hint="default" w:ascii="Times New Roman" w:hAnsi="Times New Roman" w:eastAsia="PMingLiU" w:cs="Times New Roman"/>
                <w:color w:val="000000" w:themeColor="text1"/>
                <w:sz w:val="20"/>
                <w:szCs w:val="20"/>
                <w:lang w:eastAsia="zh-TW"/>
                <w14:textFill>
                  <w14:solidFill>
                    <w14:schemeClr w14:val="tx1"/>
                  </w14:solidFill>
                </w14:textFill>
              </w:rPr>
            </w:pPr>
            <w:r>
              <w:rPr>
                <w:rFonts w:hint="default" w:ascii="Times New Roman" w:hAnsi="Times New Roman" w:eastAsia="PMingLiU" w:cs="Times New Roman"/>
                <w:color w:val="000000" w:themeColor="text1"/>
                <w:sz w:val="20"/>
                <w:szCs w:val="20"/>
                <w:lang w:eastAsia="zh-TW"/>
                <w14:textFill>
                  <w14:solidFill>
                    <w14:schemeClr w14:val="tx1"/>
                  </w14:solidFill>
                </w14:textFill>
              </w:rPr>
              <w:t xml:space="preserve">Limit </w:t>
            </w:r>
            <w:r>
              <w:rPr>
                <w:rFonts w:hint="default" w:ascii="Times New Roman" w:hAnsi="Times New Roman" w:cs="Times New Roman"/>
                <w:color w:val="000000" w:themeColor="text1"/>
                <w:sz w:val="20"/>
                <w:szCs w:val="20"/>
                <w14:textFill>
                  <w14:solidFill>
                    <w14:schemeClr w14:val="tx1"/>
                  </w14:solidFill>
                </w14:textFill>
              </w:rPr>
              <w:t>only to</w:t>
            </w:r>
            <w:r>
              <w:rPr>
                <w:rFonts w:hint="default" w:ascii="Times New Roman" w:hAnsi="Times New Roman" w:eastAsia="PMingLiU" w:cs="Times New Roman"/>
                <w:color w:val="000000" w:themeColor="text1"/>
                <w:sz w:val="20"/>
                <w:szCs w:val="20"/>
                <w:lang w:eastAsia="zh-TW"/>
                <w14:textFill>
                  <w14:solidFill>
                    <w14:schemeClr w14:val="tx1"/>
                  </w14:solidFill>
                </w14:textFill>
              </w:rPr>
              <w:t xml:space="preserve"> Rel-17 SCell activation </w:t>
            </w:r>
          </w:p>
          <w:p w14:paraId="196B6835">
            <w:pPr>
              <w:numPr>
                <w:ilvl w:val="2"/>
                <w:numId w:val="6"/>
              </w:numPr>
              <w:tabs>
                <w:tab w:val="left" w:pos="1286"/>
              </w:tabs>
              <w:suppressAutoHyphens w:val="0"/>
              <w:spacing w:after="0" w:line="276" w:lineRule="auto"/>
              <w:ind w:left="1242" w:leftChars="0" w:hanging="142"/>
              <w:contextualSpacing/>
              <w:jc w:val="both"/>
              <w:rPr>
                <w:rFonts w:hint="default" w:ascii="Times New Roman" w:hAnsi="Times New Roman" w:cs="Times New Roman"/>
                <w:color w:val="000000" w:themeColor="text1"/>
                <w:sz w:val="20"/>
                <w:szCs w:val="20"/>
                <w:lang w:val="en-US" w:eastAsia="zh-CN"/>
                <w14:textFill>
                  <w14:solidFill>
                    <w14:schemeClr w14:val="tx1"/>
                  </w14:solidFill>
                </w14:textFill>
              </w:rPr>
            </w:pPr>
            <w:r>
              <w:rPr>
                <w:rFonts w:hint="default" w:ascii="Times New Roman" w:hAnsi="Times New Roman" w:cs="Times New Roman"/>
                <w:b/>
                <w:bCs/>
                <w:sz w:val="20"/>
                <w:szCs w:val="20"/>
                <w:lang w:val="it-IT"/>
              </w:rPr>
              <w:t>Support</w:t>
            </w:r>
            <w:r>
              <w:rPr>
                <w:rFonts w:hint="default" w:ascii="Times New Roman" w:hAnsi="Times New Roman" w:cs="Times New Roman"/>
                <w:sz w:val="20"/>
                <w:szCs w:val="20"/>
                <w:lang w:val="it-IT"/>
              </w:rPr>
              <w:t xml:space="preserve">: FUTUREWEI, </w:t>
            </w:r>
            <w:r>
              <w:rPr>
                <w:rFonts w:hint="default" w:ascii="Times New Roman" w:hAnsi="Times New Roman" w:cs="Times New Roman"/>
                <w:color w:val="000000" w:themeColor="text1"/>
                <w:sz w:val="20"/>
                <w:szCs w:val="20"/>
                <w:lang w:val="it-IT"/>
                <w14:textFill>
                  <w14:solidFill>
                    <w14:schemeClr w14:val="tx1"/>
                  </w14:solidFill>
                </w14:textFill>
              </w:rPr>
              <w:t xml:space="preserve">Huawei, ETRI, Qualcomm, </w:t>
            </w:r>
            <w:r>
              <w:rPr>
                <w:rFonts w:hint="default" w:ascii="Times New Roman" w:hAnsi="Times New Roman" w:cs="Times New Roman"/>
                <w:sz w:val="20"/>
                <w:szCs w:val="20"/>
                <w:lang w:val="it-IT"/>
              </w:rPr>
              <w:t xml:space="preserve">China Telecom, LGE, </w:t>
            </w:r>
            <w:r>
              <w:rPr>
                <w:rFonts w:hint="default" w:ascii="Times New Roman" w:hAnsi="Times New Roman" w:eastAsia="宋体" w:cs="Times New Roman"/>
                <w:sz w:val="20"/>
                <w:szCs w:val="20"/>
                <w:lang w:val="it-IT" w:eastAsia="zh-CN"/>
              </w:rPr>
              <w:t>vivo, ETRI, CATT</w:t>
            </w:r>
          </w:p>
        </w:tc>
      </w:tr>
    </w:tbl>
    <w:p w14:paraId="5AA1CFD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7D779D6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b/>
          <w:bCs/>
          <w:i/>
          <w:iCs/>
          <w:sz w:val="20"/>
          <w:szCs w:val="20"/>
          <w:lang w:val="en-US" w:eastAsia="zh-CN"/>
        </w:rPr>
      </w:pPr>
      <w:r>
        <w:rPr>
          <w:rFonts w:hint="eastAsia" w:ascii="Times New Roman" w:hAnsi="Times New Roman"/>
          <w:b/>
          <w:bCs/>
          <w:i/>
          <w:iCs/>
          <w:sz w:val="20"/>
          <w:szCs w:val="20"/>
          <w:lang w:val="en-US" w:eastAsia="zh-CN"/>
        </w:rPr>
        <w:t xml:space="preserve">Proposal 1: for </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u</w:t>
      </w:r>
      <w:r>
        <w:rPr>
          <w:rFonts w:hint="default" w:ascii="Times New Roman" w:hAnsi="Times New Roman" w:cs="Times New Roman"/>
          <w:b/>
          <w:bCs/>
          <w:i/>
          <w:iCs/>
          <w:color w:val="000000" w:themeColor="text1"/>
          <w:sz w:val="20"/>
          <w:szCs w:val="20"/>
          <w14:textFill>
            <w14:solidFill>
              <w14:schemeClr w14:val="tx1"/>
            </w14:solidFill>
          </w14:textFill>
        </w:rPr>
        <w:t>se case of early triggering</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for </w:t>
      </w:r>
      <w:r>
        <w:rPr>
          <w:rFonts w:hint="default" w:ascii="Times New Roman" w:hAnsi="Times New Roman" w:cs="Times New Roman"/>
          <w:b/>
          <w:bCs/>
          <w:i/>
          <w:iCs/>
          <w:sz w:val="20"/>
          <w:szCs w:val="20"/>
        </w:rPr>
        <w:t>SCell transition from deactivation to activation</w:t>
      </w:r>
      <w:r>
        <w:rPr>
          <w:rFonts w:hint="eastAsia" w:ascii="Times New Roman" w:hAnsi="Times New Roman" w:cs="Times New Roman"/>
          <w:b/>
          <w:bCs/>
          <w:i/>
          <w:iCs/>
          <w:sz w:val="20"/>
          <w:szCs w:val="20"/>
          <w:lang w:val="en-US" w:eastAsia="zh-CN"/>
        </w:rPr>
        <w:t>, to avoid overlapped discussion, it is proposed to wait for RAN1 progress since RAN1 also discuss this issue.</w:t>
      </w:r>
    </w:p>
    <w:p w14:paraId="44F0657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As for the RRM impact due to early SRS/CSI-RS/CSI triggering for SCell activation, it is too early to say that there is no RRM impact. It is proposed to wait for more progress made by RAN1.</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26EF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71E66D2">
            <w:pPr>
              <w:overflowPunct w:val="0"/>
              <w:autoSpaceDE w:val="0"/>
              <w:autoSpaceDN w:val="0"/>
              <w:adjustRightInd w:val="0"/>
              <w:snapToGrid w:val="0"/>
              <w:spacing w:after="180"/>
              <w:jc w:val="both"/>
              <w:textAlignment w:val="baseline"/>
              <w:rPr>
                <w:rFonts w:hint="default" w:ascii="Times New Roman" w:hAnsi="Times New Roman" w:eastAsia="宋体" w:cs="Times New Roman"/>
                <w:b/>
                <w:sz w:val="20"/>
                <w:szCs w:val="20"/>
                <w:lang w:val="en-US" w:eastAsia="zh-CN"/>
              </w:rPr>
            </w:pPr>
            <w:r>
              <w:rPr>
                <w:rFonts w:hint="default" w:ascii="Times New Roman" w:hAnsi="Times New Roman" w:eastAsia="宋体" w:cs="Times New Roman"/>
                <w:b/>
                <w:sz w:val="20"/>
                <w:szCs w:val="20"/>
                <w:highlight w:val="green"/>
              </w:rPr>
              <w:t>Agreement</w:t>
            </w:r>
            <w:r>
              <w:rPr>
                <w:rFonts w:hint="default" w:ascii="Times New Roman" w:hAnsi="Times New Roman" w:eastAsia="宋体" w:cs="Times New Roman"/>
                <w:b/>
                <w:sz w:val="20"/>
                <w:szCs w:val="20"/>
                <w:highlight w:val="green"/>
                <w:lang w:val="en-US" w:eastAsia="zh-CN"/>
              </w:rPr>
              <w:t xml:space="preserve"> in RAN1#122bis</w:t>
            </w:r>
          </w:p>
          <w:p w14:paraId="345B4C29">
            <w:pPr>
              <w:overflowPunct w:val="0"/>
              <w:autoSpaceDE w:val="0"/>
              <w:autoSpaceDN w:val="0"/>
              <w:adjustRightInd w:val="0"/>
              <w:spacing w:after="180" w:line="276" w:lineRule="auto"/>
              <w:jc w:val="both"/>
              <w:textAlignment w:val="baseline"/>
              <w:rPr>
                <w:rFonts w:hint="default" w:ascii="Times New Roman" w:hAnsi="Times New Roman" w:cs="Times New Roman"/>
                <w:sz w:val="20"/>
                <w:szCs w:val="20"/>
              </w:rPr>
            </w:pPr>
            <w:r>
              <w:rPr>
                <w:rFonts w:hint="default" w:ascii="Times New Roman" w:hAnsi="Times New Roman" w:cs="Times New Roman"/>
                <w:sz w:val="20"/>
                <w:szCs w:val="20"/>
              </w:rPr>
              <w:t xml:space="preserve">On triggering mechanism for early aperiodic SRS-AS transmission on a SCell and early aperiodic CSI reporting for a SCell, based on the legacy SCell activation activating the SCell, down-select one from the followings in RAN1#123 meeting: </w:t>
            </w:r>
          </w:p>
          <w:p w14:paraId="2D859620">
            <w:pPr>
              <w:pStyle w:val="12"/>
              <w:numPr>
                <w:ilvl w:val="0"/>
                <w:numId w:val="5"/>
              </w:numPr>
              <w:overflowPunct/>
              <w:autoSpaceDE/>
              <w:autoSpaceDN/>
              <w:adjustRightInd/>
              <w:spacing w:after="0" w:line="276" w:lineRule="auto"/>
              <w:ind w:hanging="158" w:firstLineChars="0"/>
              <w:contextualSpacing/>
              <w:textAlignment w:val="auto"/>
              <w:rPr>
                <w:rFonts w:hint="default" w:ascii="Times New Roman" w:hAnsi="Times New Roman" w:cs="Times New Roman"/>
                <w:sz w:val="20"/>
                <w:szCs w:val="20"/>
                <w:lang w:val="de-DE"/>
              </w:rPr>
            </w:pPr>
            <w:r>
              <w:rPr>
                <w:rFonts w:hint="default" w:ascii="Times New Roman" w:hAnsi="Times New Roman" w:cs="Times New Roman"/>
                <w:sz w:val="20"/>
                <w:szCs w:val="20"/>
                <w:lang w:val="de-DE"/>
              </w:rPr>
              <w:t xml:space="preserve">Alt-1 (Implicit mechanism): </w:t>
            </w:r>
          </w:p>
          <w:p w14:paraId="78DD27EB">
            <w:pPr>
              <w:numPr>
                <w:ilvl w:val="1"/>
                <w:numId w:val="6"/>
              </w:numPr>
              <w:tabs>
                <w:tab w:val="left" w:pos="153"/>
              </w:tabs>
              <w:overflowPunct/>
              <w:autoSpaceDE/>
              <w:autoSpaceDN/>
              <w:adjustRightInd/>
              <w:spacing w:after="0" w:line="276" w:lineRule="auto"/>
              <w:ind w:left="822" w:hanging="142"/>
              <w:contextualSpacing/>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For early aperiodic SRS-AS transmission, the SRS resource set(s) triggered for the SCell is determined according to RRC configuration.</w:t>
            </w:r>
          </w:p>
          <w:p w14:paraId="57516635">
            <w:pPr>
              <w:numPr>
                <w:ilvl w:val="1"/>
                <w:numId w:val="6"/>
              </w:numPr>
              <w:tabs>
                <w:tab w:val="left" w:pos="153"/>
              </w:tabs>
              <w:overflowPunct/>
              <w:autoSpaceDE/>
              <w:autoSpaceDN/>
              <w:adjustRightInd/>
              <w:spacing w:after="0" w:line="276" w:lineRule="auto"/>
              <w:ind w:left="822" w:hanging="142"/>
              <w:contextualSpacing/>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For early aperiodic CSI reporting, the CSI report configuration(s) triggered for the SCell is determined according to RRC configuration</w:t>
            </w:r>
          </w:p>
          <w:p w14:paraId="68CADCD6">
            <w:pPr>
              <w:pStyle w:val="12"/>
              <w:numPr>
                <w:ilvl w:val="0"/>
                <w:numId w:val="5"/>
              </w:numPr>
              <w:overflowPunct/>
              <w:autoSpaceDE/>
              <w:autoSpaceDN/>
              <w:adjustRightInd/>
              <w:spacing w:after="0" w:line="276" w:lineRule="auto"/>
              <w:ind w:hanging="158" w:firstLineChars="0"/>
              <w:contextualSpacing/>
              <w:textAlignment w:val="auto"/>
              <w:rPr>
                <w:rFonts w:hint="default" w:ascii="Times New Roman" w:hAnsi="Times New Roman" w:cs="Times New Roman"/>
                <w:sz w:val="20"/>
                <w:szCs w:val="20"/>
                <w:lang w:val="de-DE"/>
              </w:rPr>
            </w:pPr>
            <w:r>
              <w:rPr>
                <w:rFonts w:hint="default" w:ascii="Times New Roman" w:hAnsi="Times New Roman" w:cs="Times New Roman"/>
                <w:sz w:val="20"/>
                <w:szCs w:val="20"/>
                <w:lang w:val="de-DE"/>
              </w:rPr>
              <w:t xml:space="preserve">Alt-2 (Explicit mechanism): </w:t>
            </w:r>
          </w:p>
          <w:p w14:paraId="4986F8ED">
            <w:pPr>
              <w:numPr>
                <w:ilvl w:val="1"/>
                <w:numId w:val="6"/>
              </w:numPr>
              <w:tabs>
                <w:tab w:val="left" w:pos="153"/>
              </w:tabs>
              <w:overflowPunct/>
              <w:autoSpaceDE/>
              <w:autoSpaceDN/>
              <w:adjustRightInd/>
              <w:spacing w:after="0" w:line="276" w:lineRule="auto"/>
              <w:ind w:left="822" w:hanging="142"/>
              <w:contextualSpacing/>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For early aperiodic SRS-AS transmission, the SRS resource set(s) triggered for the SCell is determined according to an indication in SCell activation command.</w:t>
            </w:r>
          </w:p>
          <w:p w14:paraId="622BE82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For early aperiodic CSI reporting, the CSI report configuration(s) triggered for the SCell is determined according to an indication in SCell activation command.</w:t>
            </w:r>
          </w:p>
          <w:p w14:paraId="100AB0D0">
            <w:pPr>
              <w:overflowPunct w:val="0"/>
              <w:autoSpaceDE w:val="0"/>
              <w:autoSpaceDN w:val="0"/>
              <w:adjustRightInd w:val="0"/>
              <w:snapToGrid w:val="0"/>
              <w:spacing w:after="180"/>
              <w:jc w:val="both"/>
              <w:textAlignment w:val="baseline"/>
              <w:rPr>
                <w:rFonts w:hint="default" w:ascii="Times New Roman" w:hAnsi="Times New Roman" w:eastAsia="宋体" w:cs="Times New Roman"/>
                <w:b/>
                <w:sz w:val="20"/>
                <w:szCs w:val="20"/>
                <w:lang w:val="en-US" w:eastAsia="zh-CN"/>
              </w:rPr>
            </w:pPr>
            <w:r>
              <w:rPr>
                <w:rFonts w:hint="default" w:ascii="Times New Roman" w:hAnsi="Times New Roman" w:eastAsia="宋体" w:cs="Times New Roman"/>
                <w:b/>
                <w:sz w:val="20"/>
                <w:szCs w:val="20"/>
                <w:highlight w:val="green"/>
              </w:rPr>
              <w:t>Agreement</w:t>
            </w:r>
            <w:r>
              <w:rPr>
                <w:rFonts w:hint="default" w:ascii="Times New Roman" w:hAnsi="Times New Roman" w:eastAsia="宋体" w:cs="Times New Roman"/>
                <w:b/>
                <w:sz w:val="20"/>
                <w:szCs w:val="20"/>
                <w:highlight w:val="green"/>
                <w:lang w:val="en-US" w:eastAsia="zh-CN"/>
              </w:rPr>
              <w:t xml:space="preserve"> in RAN1#12</w:t>
            </w:r>
            <w:r>
              <w:rPr>
                <w:rFonts w:hint="default" w:ascii="Times New Roman" w:hAnsi="Times New Roman" w:cs="Times New Roman"/>
                <w:b/>
                <w:sz w:val="20"/>
                <w:szCs w:val="20"/>
                <w:highlight w:val="green"/>
                <w:lang w:val="en-US" w:eastAsia="zh-CN"/>
              </w:rPr>
              <w:t>3</w:t>
            </w:r>
          </w:p>
          <w:p w14:paraId="5EF71E2A">
            <w:pPr>
              <w:spacing w:line="276" w:lineRule="auto"/>
              <w:jc w:val="both"/>
              <w:rPr>
                <w:rFonts w:hint="default" w:ascii="Times New Roman" w:hAnsi="Times New Roman" w:cs="Times New Roman"/>
                <w:sz w:val="20"/>
                <w:szCs w:val="20"/>
              </w:rPr>
            </w:pPr>
            <w:r>
              <w:rPr>
                <w:rFonts w:hint="default" w:ascii="Times New Roman" w:hAnsi="Times New Roman" w:cs="Times New Roman"/>
                <w:sz w:val="20"/>
                <w:szCs w:val="20"/>
              </w:rPr>
              <w:t xml:space="preserve">On triggering mechanism for early aperiodic SRS-AS transmission on a SCell and early aperiodic CSI reporting and associated aperiodic CSI-RS for CSI for a SCell, based on the legacy SCell activation activating the SCell, support Alt-2, i.e., </w:t>
            </w:r>
          </w:p>
          <w:p w14:paraId="494D16A3">
            <w:pPr>
              <w:pStyle w:val="12"/>
              <w:numPr>
                <w:ilvl w:val="0"/>
                <w:numId w:val="5"/>
              </w:numPr>
              <w:spacing w:line="276" w:lineRule="auto"/>
              <w:ind w:leftChars="0" w:hanging="158"/>
              <w:contextualSpacing/>
              <w:jc w:val="both"/>
              <w:rPr>
                <w:rFonts w:hint="default" w:ascii="Times New Roman" w:hAnsi="Times New Roman" w:cs="Times New Roman"/>
                <w:sz w:val="20"/>
                <w:szCs w:val="20"/>
                <w:lang w:eastAsia="ko-KR"/>
              </w:rPr>
            </w:pPr>
            <w:r>
              <w:rPr>
                <w:rFonts w:hint="default" w:ascii="Times New Roman" w:hAnsi="Times New Roman" w:cs="Times New Roman"/>
                <w:sz w:val="20"/>
                <w:szCs w:val="20"/>
              </w:rPr>
              <w:t>For early aperiodic SRS-AS transmission, the SRS resource set(s) triggered for the SCell is determined according to an indication in SCell activation command.</w:t>
            </w:r>
          </w:p>
          <w:p w14:paraId="2D6A3BD7">
            <w:pPr>
              <w:pStyle w:val="12"/>
              <w:numPr>
                <w:ilvl w:val="0"/>
                <w:numId w:val="5"/>
              </w:numPr>
              <w:spacing w:line="276" w:lineRule="auto"/>
              <w:ind w:leftChars="0" w:hanging="158"/>
              <w:contextualSpacing/>
              <w:jc w:val="both"/>
              <w:rPr>
                <w:rFonts w:hint="default" w:ascii="Times New Roman" w:hAnsi="Times New Roman" w:cs="Times New Roman"/>
                <w:sz w:val="20"/>
                <w:szCs w:val="20"/>
              </w:rPr>
            </w:pPr>
            <w:r>
              <w:rPr>
                <w:rFonts w:hint="default" w:ascii="Times New Roman" w:hAnsi="Times New Roman" w:cs="Times New Roman"/>
                <w:sz w:val="20"/>
                <w:szCs w:val="20"/>
              </w:rPr>
              <w:t>For early aperiodic CSI reporting</w:t>
            </w:r>
            <w:r>
              <w:rPr>
                <w:rFonts w:hint="default" w:ascii="Times New Roman" w:hAnsi="Times New Roman" w:eastAsia="PMingLiU" w:cs="Times New Roman"/>
                <w:sz w:val="20"/>
                <w:szCs w:val="20"/>
                <w:lang w:eastAsia="zh-TW"/>
              </w:rPr>
              <w:t xml:space="preserve"> and associated aperiodic CSI-RS for CSI</w:t>
            </w:r>
            <w:r>
              <w:rPr>
                <w:rFonts w:hint="default" w:ascii="Times New Roman" w:hAnsi="Times New Roman" w:cs="Times New Roman"/>
                <w:sz w:val="20"/>
                <w:szCs w:val="20"/>
              </w:rPr>
              <w:t>, the CSI report configuration(s) triggered for the SCell is determined according to an indication in SCell activation command.</w:t>
            </w:r>
          </w:p>
          <w:p w14:paraId="00BB074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lang w:val="en-US" w:eastAsia="zh-CN"/>
              </w:rPr>
            </w:pPr>
          </w:p>
        </w:tc>
      </w:tr>
    </w:tbl>
    <w:p w14:paraId="065CB7A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324D881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 for the RRM impact due to early SRS/CSI-RS/CSI triggering for SCell activation, it is proposed to further discuss RRM impact based on RAN1 progress.</w:t>
      </w:r>
    </w:p>
    <w:bookmarkEnd w:id="6"/>
    <w:bookmarkEnd w:id="7"/>
    <w:p w14:paraId="046857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27F3A70">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lang w:val="en-US" w:eastAsia="zh-CN"/>
        </w:rPr>
        <w:t xml:space="preserve">RRM core requirements for </w:t>
      </w:r>
      <w:r>
        <w:rPr>
          <w:rFonts w:hint="eastAsia" w:ascii="Times New Roman" w:hAnsi="Times New Roman"/>
          <w:sz w:val="22"/>
          <w:highlight w:val="none"/>
          <w:lang w:val="en-US" w:eastAsia="zh-CN"/>
        </w:rPr>
        <w:t>NR MIMO Phase 6</w:t>
      </w:r>
      <w:r>
        <w:rPr>
          <w:rFonts w:hint="eastAsia" w:ascii="Times New Roman" w:hAnsi="Times New Roman"/>
          <w:sz w:val="20"/>
          <w:szCs w:val="20"/>
          <w:highlight w:val="none"/>
        </w:rPr>
        <w:t>. The proposals are:</w:t>
      </w:r>
    </w:p>
    <w:p w14:paraId="2822263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b/>
          <w:bCs/>
          <w:i/>
          <w:iCs/>
          <w:sz w:val="20"/>
          <w:szCs w:val="20"/>
          <w:lang w:val="en-US" w:eastAsia="zh-CN"/>
        </w:rPr>
      </w:pPr>
      <w:r>
        <w:rPr>
          <w:rFonts w:hint="eastAsia" w:ascii="Times New Roman" w:hAnsi="Times New Roman"/>
          <w:b/>
          <w:bCs/>
          <w:i/>
          <w:iCs/>
          <w:sz w:val="20"/>
          <w:szCs w:val="20"/>
          <w:lang w:val="en-US" w:eastAsia="zh-CN"/>
        </w:rPr>
        <w:t xml:space="preserve">Proposal 1: for </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u</w:t>
      </w:r>
      <w:r>
        <w:rPr>
          <w:rFonts w:hint="default" w:ascii="Times New Roman" w:hAnsi="Times New Roman" w:cs="Times New Roman"/>
          <w:b/>
          <w:bCs/>
          <w:i/>
          <w:iCs/>
          <w:color w:val="000000" w:themeColor="text1"/>
          <w:sz w:val="20"/>
          <w:szCs w:val="20"/>
          <w14:textFill>
            <w14:solidFill>
              <w14:schemeClr w14:val="tx1"/>
            </w14:solidFill>
          </w14:textFill>
        </w:rPr>
        <w:t>se case of early triggering</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for </w:t>
      </w:r>
      <w:r>
        <w:rPr>
          <w:rFonts w:hint="default" w:ascii="Times New Roman" w:hAnsi="Times New Roman" w:cs="Times New Roman"/>
          <w:b/>
          <w:bCs/>
          <w:i/>
          <w:iCs/>
          <w:sz w:val="20"/>
          <w:szCs w:val="20"/>
        </w:rPr>
        <w:t>SCell transition from deactivation to activation</w:t>
      </w:r>
      <w:r>
        <w:rPr>
          <w:rFonts w:hint="eastAsia" w:ascii="Times New Roman" w:hAnsi="Times New Roman" w:cs="Times New Roman"/>
          <w:b/>
          <w:bCs/>
          <w:i/>
          <w:iCs/>
          <w:sz w:val="20"/>
          <w:szCs w:val="20"/>
          <w:lang w:val="en-US" w:eastAsia="zh-CN"/>
        </w:rPr>
        <w:t>, to avoid overlapped discussion, it is proposed to wait for RAN1 progress since RAN1 also discuss this issue.</w:t>
      </w:r>
    </w:p>
    <w:p w14:paraId="57EDE1F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rPr>
      </w:pPr>
      <w:r>
        <w:rPr>
          <w:rFonts w:hint="eastAsia" w:ascii="Times New Roman" w:hAnsi="Times New Roman"/>
          <w:b/>
          <w:bCs/>
          <w:i/>
          <w:iCs/>
          <w:sz w:val="20"/>
          <w:szCs w:val="20"/>
          <w:lang w:val="en-US" w:eastAsia="zh-CN"/>
        </w:rPr>
        <w:t>Proposal 2: for the RRM impact due to early SRS/CSI-RS/CSI triggering for SCell activation, it is proposed to further discuss RRM impact based on RAN1 progress.</w:t>
      </w:r>
    </w:p>
    <w:p w14:paraId="54BE5A42">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40DE9DA9">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[1] RP-251856, New WID: NR MIMO Phase 6, Samsung (Moderator)</w:t>
      </w:r>
    </w:p>
    <w:p w14:paraId="77DD7217">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[2] RP-252936, Revised WI: NR MIMO Phase 6, MediaTek</w:t>
      </w:r>
    </w:p>
    <w:p w14:paraId="33BCEF03">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hint="default" w:ascii="Times New Roman" w:hAnsi="Times New Roman" w:eastAsia="宋体" w:cs="Times New Roman"/>
          <w:b w:val="0"/>
          <w:sz w:val="20"/>
          <w:lang w:val="en-US" w:eastAsia="zh-CN"/>
        </w:rPr>
      </w:pPr>
      <w:r>
        <w:rPr>
          <w:rFonts w:hint="eastAsia" w:ascii="Times New Roman" w:hAnsi="Times New Roman" w:eastAsia="宋体" w:cs="Times New Roman"/>
          <w:b w:val="0"/>
          <w:sz w:val="20"/>
          <w:lang w:val="en-US" w:eastAsia="zh-CN"/>
        </w:rPr>
        <w:t xml:space="preserve">[3] R4-2522654, </w:t>
      </w:r>
      <w:r>
        <w:rPr>
          <w:rFonts w:hint="default" w:ascii="Times New Roman" w:hAnsi="Times New Roman" w:eastAsia="宋体" w:cs="Times New Roman"/>
          <w:b w:val="0"/>
          <w:sz w:val="20"/>
          <w:lang w:eastAsia="zh-CN"/>
        </w:rPr>
        <w:t>WF on NR_MIMO_Ph6_RRM, MediaTek</w:t>
      </w:r>
    </w:p>
    <w:p w14:paraId="7FA5C0AB">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r>
        <w:rPr>
          <w:rFonts w:hint="default" w:ascii="Times New Roman" w:hAnsi="Times New Roman" w:eastAsia="宋体" w:cs="Times New Roman"/>
          <w:b w:val="0"/>
          <w:sz w:val="20"/>
          <w:lang w:eastAsia="zh-CN"/>
        </w:rPr>
        <w:t>[</w:t>
      </w:r>
      <w:r>
        <w:rPr>
          <w:rFonts w:hint="eastAsia" w:ascii="Times New Roman" w:hAnsi="Times New Roman" w:eastAsia="宋体" w:cs="Times New Roman"/>
          <w:b w:val="0"/>
          <w:sz w:val="20"/>
          <w:lang w:val="en-US" w:eastAsia="zh-CN"/>
        </w:rPr>
        <w:t>4</w:t>
      </w:r>
      <w:r>
        <w:rPr>
          <w:rFonts w:hint="default" w:ascii="Times New Roman" w:hAnsi="Times New Roman" w:eastAsia="宋体" w:cs="Times New Roman"/>
          <w:b w:val="0"/>
          <w:sz w:val="20"/>
          <w:lang w:eastAsia="zh-CN"/>
        </w:rPr>
        <w:t>] R4-2514825, WF on NR_MIMO_Ph6_RRM, MediaTek</w:t>
      </w:r>
    </w:p>
    <w:p w14:paraId="231A50B7">
      <w:pPr>
        <w:pStyle w:val="13"/>
        <w:framePr w:wrap="auto" w:vAnchor="margin" w:hAnchor="text" w:yAlign="inline"/>
        <w:ind w:right="400"/>
        <w:jc w:val="both"/>
        <w:rPr>
          <w:rFonts w:ascii="Times" w:hAnsi="Times" w:eastAsia="宋体"/>
          <w:b w:val="0"/>
          <w:sz w:val="20"/>
          <w:lang w:eastAsia="zh-CN"/>
        </w:rPr>
      </w:pPr>
    </w:p>
    <w:p w14:paraId="0A523C19">
      <w:pPr>
        <w:pStyle w:val="13"/>
        <w:framePr w:wrap="auto" w:vAnchor="margin" w:hAnchor="text" w:yAlign="inline"/>
        <w:ind w:right="400"/>
        <w:jc w:val="both"/>
        <w:rPr>
          <w:rFonts w:hint="eastAsia" w:ascii="Times" w:hAnsi="Times" w:eastAsia="宋体"/>
          <w:b w:val="0"/>
          <w:sz w:val="20"/>
          <w:lang w:val="en-US" w:eastAsia="zh-CN"/>
        </w:rPr>
      </w:pPr>
    </w:p>
    <w:p w14:paraId="0EEF2378"/>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PMingLiU">
    <w:altName w:val="PMingLiU-ExtB"/>
    <w:panose1 w:val="02020500000000000000"/>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5E3F4A"/>
    <w:multiLevelType w:val="multilevel"/>
    <w:tmpl w:val="135E3F4A"/>
    <w:lvl w:ilvl="0" w:tentative="0">
      <w:start w:val="1"/>
      <w:numFmt w:val="bullet"/>
      <w:lvlText w:val=""/>
      <w:lvlJc w:val="left"/>
      <w:pPr>
        <w:tabs>
          <w:tab w:val="left" w:pos="0"/>
        </w:tabs>
        <w:ind w:left="840" w:hanging="420"/>
      </w:pPr>
      <w:rPr>
        <w:rFonts w:hint="default" w:ascii="Wingdings" w:hAnsi="Wingdings" w:cs="Wingdings"/>
      </w:rPr>
    </w:lvl>
    <w:lvl w:ilvl="1" w:tentative="0">
      <w:start w:val="1"/>
      <w:numFmt w:val="bullet"/>
      <w:lvlText w:val="o"/>
      <w:lvlJc w:val="left"/>
      <w:pPr>
        <w:tabs>
          <w:tab w:val="left" w:pos="0"/>
        </w:tabs>
        <w:ind w:left="1260" w:hanging="420"/>
      </w:pPr>
      <w:rPr>
        <w:rFonts w:hint="default" w:ascii="Courier New" w:hAnsi="Courier New" w:cs="Courier New"/>
        <w:color w:val="auto"/>
      </w:rPr>
    </w:lvl>
    <w:lvl w:ilvl="2" w:tentative="0">
      <w:start w:val="1"/>
      <w:numFmt w:val="bullet"/>
      <w:lvlText w:val=""/>
      <w:lvlJc w:val="left"/>
      <w:pPr>
        <w:ind w:left="1740" w:hanging="480"/>
      </w:pPr>
      <w:rPr>
        <w:rFonts w:hint="default" w:ascii="Wingdings" w:hAnsi="Wingdings"/>
      </w:rPr>
    </w:lvl>
    <w:lvl w:ilvl="3" w:tentative="0">
      <w:start w:val="1"/>
      <w:numFmt w:val="bullet"/>
      <w:lvlText w:val="‒"/>
      <w:lvlJc w:val="left"/>
      <w:pPr>
        <w:tabs>
          <w:tab w:val="left" w:pos="0"/>
        </w:tabs>
        <w:ind w:left="2100" w:hanging="420"/>
      </w:pPr>
      <w:rPr>
        <w:rFonts w:hint="default" w:ascii="Calibri" w:hAnsi="Calibri"/>
      </w:rPr>
    </w:lvl>
    <w:lvl w:ilvl="4" w:tentative="0">
      <w:start w:val="1"/>
      <w:numFmt w:val="bullet"/>
      <w:lvlText w:val=""/>
      <w:lvlJc w:val="left"/>
      <w:pPr>
        <w:tabs>
          <w:tab w:val="left" w:pos="0"/>
        </w:tabs>
        <w:ind w:left="2520" w:hanging="420"/>
      </w:pPr>
      <w:rPr>
        <w:rFonts w:hint="default" w:ascii="Wingdings" w:hAnsi="Wingdings" w:cs="Wingdings"/>
      </w:rPr>
    </w:lvl>
    <w:lvl w:ilvl="5" w:tentative="0">
      <w:start w:val="1"/>
      <w:numFmt w:val="bullet"/>
      <w:lvlText w:val=""/>
      <w:lvlJc w:val="left"/>
      <w:pPr>
        <w:tabs>
          <w:tab w:val="left" w:pos="0"/>
        </w:tabs>
        <w:ind w:left="2940" w:hanging="420"/>
      </w:pPr>
      <w:rPr>
        <w:rFonts w:hint="default" w:ascii="Wingdings" w:hAnsi="Wingdings" w:cs="Wingdings"/>
      </w:rPr>
    </w:lvl>
    <w:lvl w:ilvl="6" w:tentative="0">
      <w:start w:val="1"/>
      <w:numFmt w:val="bullet"/>
      <w:lvlText w:val=""/>
      <w:lvlJc w:val="left"/>
      <w:pPr>
        <w:tabs>
          <w:tab w:val="left" w:pos="0"/>
        </w:tabs>
        <w:ind w:left="3360" w:hanging="420"/>
      </w:pPr>
      <w:rPr>
        <w:rFonts w:hint="default" w:ascii="Wingdings" w:hAnsi="Wingdings" w:cs="Wingdings"/>
      </w:rPr>
    </w:lvl>
    <w:lvl w:ilvl="7" w:tentative="0">
      <w:start w:val="1"/>
      <w:numFmt w:val="bullet"/>
      <w:lvlText w:val=""/>
      <w:lvlJc w:val="left"/>
      <w:pPr>
        <w:tabs>
          <w:tab w:val="left" w:pos="0"/>
        </w:tabs>
        <w:ind w:left="3780" w:hanging="420"/>
      </w:pPr>
      <w:rPr>
        <w:rFonts w:hint="default" w:ascii="Wingdings" w:hAnsi="Wingdings" w:cs="Wingdings"/>
      </w:rPr>
    </w:lvl>
    <w:lvl w:ilvl="8" w:tentative="0">
      <w:start w:val="1"/>
      <w:numFmt w:val="bullet"/>
      <w:lvlText w:val=""/>
      <w:lvlJc w:val="left"/>
      <w:pPr>
        <w:tabs>
          <w:tab w:val="left" w:pos="0"/>
        </w:tabs>
        <w:ind w:left="4200" w:hanging="420"/>
      </w:pPr>
      <w:rPr>
        <w:rFonts w:hint="default" w:ascii="Wingdings" w:hAnsi="Wingdings" w:cs="Wingdings"/>
      </w:rPr>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FE1497B"/>
    <w:multiLevelType w:val="multilevel"/>
    <w:tmpl w:val="3FE1497B"/>
    <w:lvl w:ilvl="0" w:tentative="0">
      <w:start w:val="1"/>
      <w:numFmt w:val="bullet"/>
      <w:lvlText w:val=""/>
      <w:lvlJc w:val="left"/>
      <w:pPr>
        <w:ind w:left="480" w:hanging="480"/>
      </w:pPr>
      <w:rPr>
        <w:rFonts w:hint="default" w:ascii="Wingdings" w:hAnsi="Wingdings"/>
        <w:strike w:val="0"/>
      </w:rPr>
    </w:lvl>
    <w:lvl w:ilvl="1" w:tentative="0">
      <w:start w:val="1"/>
      <w:numFmt w:val="bullet"/>
      <w:lvlText w:val="。"/>
      <w:lvlJc w:val="left"/>
      <w:pPr>
        <w:ind w:left="960" w:hanging="480"/>
      </w:pPr>
      <w:rPr>
        <w:rFonts w:hint="eastAsia" w:ascii="PMingLiU" w:hAnsi="PMingLiU" w:eastAsia="PMingLiU"/>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lang w:val="en-US"/>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1"/>
  </w:num>
  <w:num w:numId="3">
    <w:abstractNumId w:val="4"/>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E0B52"/>
    <w:rsid w:val="05AC3A85"/>
    <w:rsid w:val="06A50B76"/>
    <w:rsid w:val="06BB2083"/>
    <w:rsid w:val="07435D9A"/>
    <w:rsid w:val="08375E63"/>
    <w:rsid w:val="08D72A91"/>
    <w:rsid w:val="0A7A49BE"/>
    <w:rsid w:val="0A922065"/>
    <w:rsid w:val="0B1579BA"/>
    <w:rsid w:val="0BB44D87"/>
    <w:rsid w:val="0CD8520D"/>
    <w:rsid w:val="0D711D70"/>
    <w:rsid w:val="0DD40EBD"/>
    <w:rsid w:val="0E367C5D"/>
    <w:rsid w:val="0F095A37"/>
    <w:rsid w:val="105B6EC8"/>
    <w:rsid w:val="11604C92"/>
    <w:rsid w:val="11D129C7"/>
    <w:rsid w:val="12236F4E"/>
    <w:rsid w:val="13057541"/>
    <w:rsid w:val="133F3372"/>
    <w:rsid w:val="146A55F3"/>
    <w:rsid w:val="15AD04C1"/>
    <w:rsid w:val="196675BB"/>
    <w:rsid w:val="197D0A1F"/>
    <w:rsid w:val="19A91D8B"/>
    <w:rsid w:val="19CE05F3"/>
    <w:rsid w:val="1AF8515B"/>
    <w:rsid w:val="1B65127F"/>
    <w:rsid w:val="1BC06F9C"/>
    <w:rsid w:val="1CB317C0"/>
    <w:rsid w:val="1CDA756F"/>
    <w:rsid w:val="1CEC5C03"/>
    <w:rsid w:val="1E9601BD"/>
    <w:rsid w:val="1F3F1B45"/>
    <w:rsid w:val="1FCF11BE"/>
    <w:rsid w:val="20282B52"/>
    <w:rsid w:val="20372402"/>
    <w:rsid w:val="208805ED"/>
    <w:rsid w:val="22ED6B5D"/>
    <w:rsid w:val="232F3DA0"/>
    <w:rsid w:val="23657AA0"/>
    <w:rsid w:val="24FC7E99"/>
    <w:rsid w:val="2509234F"/>
    <w:rsid w:val="28501313"/>
    <w:rsid w:val="2A3C1140"/>
    <w:rsid w:val="2A552882"/>
    <w:rsid w:val="2B936BAA"/>
    <w:rsid w:val="2BD8717A"/>
    <w:rsid w:val="2CB20162"/>
    <w:rsid w:val="2D2B45A9"/>
    <w:rsid w:val="2E8A1F67"/>
    <w:rsid w:val="2FCE1F78"/>
    <w:rsid w:val="31174DA4"/>
    <w:rsid w:val="312F6D42"/>
    <w:rsid w:val="31E51409"/>
    <w:rsid w:val="32886F74"/>
    <w:rsid w:val="33552E44"/>
    <w:rsid w:val="345B21C0"/>
    <w:rsid w:val="353F5302"/>
    <w:rsid w:val="354F3741"/>
    <w:rsid w:val="3555506A"/>
    <w:rsid w:val="38A21551"/>
    <w:rsid w:val="3A4F0DDD"/>
    <w:rsid w:val="3B8D0A22"/>
    <w:rsid w:val="3C0E0A5C"/>
    <w:rsid w:val="3E2E4312"/>
    <w:rsid w:val="3EC83B67"/>
    <w:rsid w:val="3F0D09C6"/>
    <w:rsid w:val="3F3E1E72"/>
    <w:rsid w:val="3FE206D5"/>
    <w:rsid w:val="40BB4940"/>
    <w:rsid w:val="40C377CE"/>
    <w:rsid w:val="41080290"/>
    <w:rsid w:val="41206955"/>
    <w:rsid w:val="41C932CA"/>
    <w:rsid w:val="43247753"/>
    <w:rsid w:val="43394480"/>
    <w:rsid w:val="44767BDF"/>
    <w:rsid w:val="44DC6CDB"/>
    <w:rsid w:val="44FF5255"/>
    <w:rsid w:val="455A038D"/>
    <w:rsid w:val="46CC1F51"/>
    <w:rsid w:val="46ED24A2"/>
    <w:rsid w:val="479E438D"/>
    <w:rsid w:val="487E0D7E"/>
    <w:rsid w:val="4AD7736C"/>
    <w:rsid w:val="4B8A3F84"/>
    <w:rsid w:val="4C3B4A29"/>
    <w:rsid w:val="4CD27092"/>
    <w:rsid w:val="4D416DCE"/>
    <w:rsid w:val="4D594475"/>
    <w:rsid w:val="4E257040"/>
    <w:rsid w:val="4E6E0718"/>
    <w:rsid w:val="4EB93137"/>
    <w:rsid w:val="514E65F3"/>
    <w:rsid w:val="516B68C8"/>
    <w:rsid w:val="532C2301"/>
    <w:rsid w:val="53CF1DF2"/>
    <w:rsid w:val="542770A9"/>
    <w:rsid w:val="549E1464"/>
    <w:rsid w:val="54C56586"/>
    <w:rsid w:val="56982A08"/>
    <w:rsid w:val="56DA3153"/>
    <w:rsid w:val="56FE7B2F"/>
    <w:rsid w:val="572A2B91"/>
    <w:rsid w:val="578135A0"/>
    <w:rsid w:val="5A0261C4"/>
    <w:rsid w:val="5ACF2987"/>
    <w:rsid w:val="5C8D3BF2"/>
    <w:rsid w:val="5CCE66D5"/>
    <w:rsid w:val="5D7F2C7A"/>
    <w:rsid w:val="5FD0250C"/>
    <w:rsid w:val="603B0CB0"/>
    <w:rsid w:val="609A6C8B"/>
    <w:rsid w:val="60BD5766"/>
    <w:rsid w:val="624C0D43"/>
    <w:rsid w:val="62F21F51"/>
    <w:rsid w:val="63F97611"/>
    <w:rsid w:val="653603C7"/>
    <w:rsid w:val="658713A2"/>
    <w:rsid w:val="665A5356"/>
    <w:rsid w:val="6684087E"/>
    <w:rsid w:val="67125837"/>
    <w:rsid w:val="681151C8"/>
    <w:rsid w:val="6A995C7D"/>
    <w:rsid w:val="6B850EE2"/>
    <w:rsid w:val="6BC309B6"/>
    <w:rsid w:val="6BF72930"/>
    <w:rsid w:val="6C535B83"/>
    <w:rsid w:val="6C9B19DD"/>
    <w:rsid w:val="6D6E1218"/>
    <w:rsid w:val="6E11612E"/>
    <w:rsid w:val="6EA92939"/>
    <w:rsid w:val="6F4F630E"/>
    <w:rsid w:val="6F9D09B2"/>
    <w:rsid w:val="70EF3E1D"/>
    <w:rsid w:val="71F80EDE"/>
    <w:rsid w:val="74B46F86"/>
    <w:rsid w:val="759E7B54"/>
    <w:rsid w:val="76542E2F"/>
    <w:rsid w:val="776F2970"/>
    <w:rsid w:val="78AA6B87"/>
    <w:rsid w:val="792027AF"/>
    <w:rsid w:val="79761752"/>
    <w:rsid w:val="7AAC00BD"/>
    <w:rsid w:val="7ADE3752"/>
    <w:rsid w:val="7C730BF7"/>
    <w:rsid w:val="7D491447"/>
    <w:rsid w:val="7D6C7155"/>
    <w:rsid w:val="7D9359A7"/>
    <w:rsid w:val="7D997FC8"/>
    <w:rsid w:val="7DC1309B"/>
    <w:rsid w:val="7DF870B2"/>
    <w:rsid w:val="7E2F6E92"/>
    <w:rsid w:val="7E6D5752"/>
    <w:rsid w:val="7FA04C03"/>
    <w:rsid w:val="7FD214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8">
    <w:name w:val="List"/>
    <w:basedOn w:val="1"/>
    <w:qFormat/>
    <w:uiPriority w:val="0"/>
    <w:pPr>
      <w:ind w:left="568" w:hanging="284"/>
    </w:p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TH"/>
    <w:basedOn w:val="1"/>
    <w:qFormat/>
    <w:uiPriority w:val="0"/>
    <w:pPr>
      <w:keepNext/>
      <w:keepLines/>
      <w:spacing w:before="60"/>
      <w:jc w:val="center"/>
    </w:pPr>
    <w:rPr>
      <w:rFonts w:ascii="Arial" w:hAnsi="Arial"/>
      <w:b/>
    </w:rPr>
  </w:style>
  <w:style w:type="paragraph" w:customStyle="1" w:styleId="15">
    <w:name w:val="TAH"/>
    <w:basedOn w:val="16"/>
    <w:qFormat/>
    <w:uiPriority w:val="0"/>
    <w:rPr>
      <w:b/>
    </w:rPr>
  </w:style>
  <w:style w:type="paragraph" w:customStyle="1" w:styleId="16">
    <w:name w:val="TAC"/>
    <w:basedOn w:val="17"/>
    <w:qFormat/>
    <w:uiPriority w:val="0"/>
    <w:pPr>
      <w:jc w:val="center"/>
    </w:pPr>
  </w:style>
  <w:style w:type="paragraph" w:customStyle="1" w:styleId="17">
    <w:name w:val="TAL"/>
    <w:basedOn w:val="1"/>
    <w:qFormat/>
    <w:uiPriority w:val="0"/>
    <w:pPr>
      <w:keepNext/>
      <w:keepLines/>
      <w:spacing w:after="0"/>
    </w:pPr>
    <w:rPr>
      <w:rFonts w:ascii="Arial" w:hAnsi="Arial"/>
      <w:sz w:val="18"/>
    </w:rPr>
  </w:style>
  <w:style w:type="paragraph" w:customStyle="1" w:styleId="18">
    <w:name w:val="TAN"/>
    <w:basedOn w:val="17"/>
    <w:qFormat/>
    <w:uiPriority w:val="0"/>
    <w:pPr>
      <w:ind w:left="851" w:hanging="851"/>
    </w:pPr>
  </w:style>
  <w:style w:type="paragraph" w:customStyle="1" w:styleId="19">
    <w:name w:val="B1"/>
    <w:basedOn w:val="8"/>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2024-11-01T08:46:00Z</dcterms:created>
  <dc:creator>cmcc</dc:creator>
  <cp:lastModifiedBy>Jingjing_CMCC</cp:lastModifiedBy>
  <dcterms:modified xsi:type="dcterms:W3CDTF">2026-01-30T06:39:17Z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D7914810C25943A9B23237FB063E3B17</vt:lpwstr>
  </property>
</Properties>
</file>